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keepNext w:val="0"/>
        <w:keepLines w:val="0"/>
        <w:pageBreakBefore w:val="0"/>
        <w:widowControl w:val="0"/>
        <w:kinsoku/>
        <w:wordWrap/>
        <w:overflowPunct/>
        <w:topLinePunct w:val="0"/>
        <w:autoSpaceDE/>
        <w:autoSpaceDN/>
        <w:bidi w:val="0"/>
        <w:spacing w:line="570" w:lineRule="exact"/>
        <w:ind w:firstLine="1606" w:firstLineChars="400"/>
        <w:jc w:val="both"/>
        <w:textAlignment w:val="auto"/>
        <w:rPr>
          <w:rFonts w:hint="eastAsia" w:ascii="仿宋" w:hAnsi="仿宋" w:eastAsia="仿宋" w:cs="仿宋"/>
          <w:b/>
          <w:bCs/>
          <w:kern w:val="0"/>
          <w:sz w:val="40"/>
          <w:szCs w:val="40"/>
          <w:lang w:val="zh-TW"/>
        </w:rPr>
      </w:pPr>
      <w:r>
        <w:rPr>
          <w:rFonts w:hint="eastAsia" w:ascii="仿宋" w:hAnsi="仿宋" w:eastAsia="仿宋" w:cs="仿宋"/>
          <w:b/>
          <w:bCs/>
          <w:kern w:val="0"/>
          <w:sz w:val="40"/>
          <w:szCs w:val="40"/>
          <w:lang w:val="zh-TW" w:eastAsia="zh-TW"/>
        </w:rPr>
        <w:t>英吉沙县贫困户创业补助项目</w:t>
      </w:r>
    </w:p>
    <w:p>
      <w:pPr>
        <w:pStyle w:val="50"/>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kern w:val="0"/>
          <w:sz w:val="40"/>
          <w:szCs w:val="40"/>
          <w:lang w:val="zh-TW" w:eastAsia="zh-TW"/>
        </w:rPr>
      </w:pPr>
      <w:r>
        <w:rPr>
          <w:rFonts w:hint="eastAsia" w:ascii="仿宋" w:hAnsi="仿宋" w:eastAsia="仿宋" w:cs="仿宋"/>
          <w:b/>
          <w:bCs/>
          <w:kern w:val="0"/>
          <w:sz w:val="40"/>
          <w:szCs w:val="40"/>
          <w:lang w:val="zh-TW" w:eastAsia="zh-TW"/>
        </w:rPr>
        <w:t>绩效自评报告</w:t>
      </w:r>
    </w:p>
    <w:p>
      <w:pPr>
        <w:pStyle w:val="50"/>
        <w:spacing w:line="540" w:lineRule="exact"/>
        <w:jc w:val="both"/>
        <w:rPr>
          <w:rFonts w:ascii="仿宋_GB2312" w:hAnsi="仿宋_GB2312" w:eastAsia="仿宋_GB2312" w:cs="仿宋_GB2312"/>
          <w:color w:val="auto"/>
          <w:kern w:val="0"/>
          <w:sz w:val="36"/>
          <w:szCs w:val="36"/>
          <w:lang w:val="zh-TW"/>
        </w:rPr>
      </w:pPr>
    </w:p>
    <w:p>
      <w:pPr>
        <w:pStyle w:val="50"/>
        <w:spacing w:line="700" w:lineRule="exact"/>
        <w:ind w:firstLine="624" w:firstLineChars="200"/>
        <w:jc w:val="left"/>
        <w:rPr>
          <w:rStyle w:val="20"/>
          <w:rFonts w:ascii="黑体" w:hAnsi="黑体" w:eastAsia="黑体" w:cs="Arial Unicode MS"/>
          <w:b w:val="0"/>
          <w:color w:val="auto"/>
          <w:spacing w:val="-4"/>
          <w:sz w:val="32"/>
          <w:szCs w:val="32"/>
        </w:rPr>
      </w:pPr>
      <w:r>
        <w:rPr>
          <w:rStyle w:val="20"/>
          <w:rFonts w:hint="eastAsia" w:ascii="黑体" w:hAnsi="黑体" w:eastAsia="黑体" w:cs="Arial Unicode MS"/>
          <w:b w:val="0"/>
          <w:color w:val="auto"/>
          <w:spacing w:val="-4"/>
          <w:sz w:val="32"/>
          <w:szCs w:val="32"/>
        </w:rPr>
        <w:t>一、项目概况</w:t>
      </w:r>
    </w:p>
    <w:p>
      <w:pPr>
        <w:adjustRightInd w:val="0"/>
        <w:snapToGrid w:val="0"/>
        <w:spacing w:line="560" w:lineRule="exact"/>
        <w:ind w:firstLine="627" w:firstLineChars="200"/>
        <w:rPr>
          <w:rStyle w:val="20"/>
          <w:rFonts w:ascii="楷体" w:hAnsi="楷体" w:eastAsia="楷体"/>
          <w:spacing w:val="-4"/>
          <w:sz w:val="32"/>
          <w:szCs w:val="32"/>
        </w:rPr>
      </w:pPr>
      <w:r>
        <w:rPr>
          <w:rStyle w:val="20"/>
          <w:rFonts w:hint="eastAsia" w:ascii="楷体" w:hAnsi="楷体" w:eastAsia="楷体"/>
          <w:spacing w:val="-4"/>
          <w:sz w:val="32"/>
          <w:szCs w:val="32"/>
        </w:rPr>
        <w:t>（一）项目单位基本情况</w:t>
      </w:r>
    </w:p>
    <w:p>
      <w:pPr>
        <w:spacing w:line="560" w:lineRule="exact"/>
        <w:ind w:firstLine="640" w:firstLineChars="200"/>
        <w:outlineLvl w:val="0"/>
        <w:rPr>
          <w:rFonts w:ascii="仿宋_GB2312" w:eastAsia="仿宋_GB2312" w:hAnsiTheme="minorEastAsia"/>
          <w:sz w:val="32"/>
          <w:szCs w:val="32"/>
        </w:rPr>
      </w:pPr>
      <w:r>
        <w:rPr>
          <w:rFonts w:hint="eastAsia" w:ascii="仿宋" w:hAnsi="仿宋" w:eastAsia="仿宋" w:cs="仿宋"/>
          <w:sz w:val="32"/>
        </w:rPr>
        <w:t xml:space="preserve"> </w:t>
      </w:r>
      <w:r>
        <w:rPr>
          <w:rFonts w:hint="eastAsia" w:ascii="仿宋_GB2312" w:eastAsia="仿宋_GB2312" w:hAnsiTheme="minorEastAsia"/>
          <w:sz w:val="32"/>
          <w:szCs w:val="32"/>
        </w:rPr>
        <w:t>英吉沙县英也尔乡人民政府已经按照文件要求设立了绩效监控工作组织机构，机构职责专门负责年初定绩效目标，年中进行绩效监控，年底绩效自评。</w:t>
      </w:r>
    </w:p>
    <w:p>
      <w:pPr>
        <w:spacing w:line="560" w:lineRule="exact"/>
        <w:ind w:firstLine="640" w:firstLineChars="200"/>
        <w:outlineLvl w:val="0"/>
        <w:rPr>
          <w:rFonts w:hint="eastAsia" w:ascii="仿宋" w:hAnsi="仿宋" w:eastAsia="仿宋" w:cs="仿宋"/>
          <w:sz w:val="32"/>
        </w:rPr>
      </w:pPr>
      <w:r>
        <w:rPr>
          <w:rFonts w:hint="eastAsia" w:ascii="仿宋_GB2312" w:eastAsia="仿宋_GB2312" w:hAnsiTheme="minorEastAsia"/>
          <w:sz w:val="32"/>
          <w:szCs w:val="32"/>
        </w:rPr>
        <w:t>成立财政绩效运行监控工作领导小组，乡党委书记任组长，负责单位绩效监控全盘工作；乡长、人大主席、纪检书记、政法书记、扶贫书记任副组长，负责制定2018年度绩效监控工作计划及实施方案；其他领导班子成员以及各科室、站所负责人任小组成员，负责根据项目数量以及项目期限的不同，有序的、分步实行项目监控，进行日常绩效跟踪，编写绩效监控报告、绩效自评等。</w:t>
      </w:r>
    </w:p>
    <w:p>
      <w:pPr>
        <w:adjustRightInd w:val="0"/>
        <w:snapToGrid w:val="0"/>
        <w:spacing w:line="360" w:lineRule="auto"/>
        <w:ind w:firstLine="627" w:firstLineChars="20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（二）项目预算绩效目标设定情况。</w:t>
      </w:r>
    </w:p>
    <w:p>
      <w:pPr>
        <w:adjustRightInd w:val="0"/>
        <w:snapToGrid w:val="0"/>
        <w:spacing w:line="360" w:lineRule="auto"/>
        <w:ind w:firstLine="627" w:firstLineChars="200"/>
        <w:rPr>
          <w:rFonts w:ascii="楷体_GB2312" w:hAnsi="仿宋" w:eastAsia="楷体_GB2312"/>
          <w:bCs/>
          <w:spacing w:val="-4"/>
          <w:sz w:val="32"/>
          <w:szCs w:val="32"/>
        </w:rPr>
      </w:pPr>
      <w:r>
        <w:rPr>
          <w:rFonts w:ascii="楷体_GB2312" w:hAnsi="仿宋" w:eastAsia="楷体_GB2312"/>
          <w:b/>
          <w:bCs/>
          <w:spacing w:val="-4"/>
          <w:sz w:val="32"/>
          <w:szCs w:val="32"/>
        </w:rPr>
        <w:t>1</w:t>
      </w:r>
      <w:r>
        <w:rPr>
          <w:rFonts w:hint="eastAsia" w:ascii="楷体_GB2312" w:hAnsi="仿宋" w:eastAsia="楷体_GB2312"/>
          <w:b/>
          <w:bCs/>
          <w:spacing w:val="-4"/>
          <w:sz w:val="32"/>
          <w:szCs w:val="32"/>
        </w:rPr>
        <w:t>、项目预期目标及阶段性目标。</w:t>
      </w:r>
      <w:bookmarkStart w:id="0" w:name="_Toc405279309"/>
      <w:r>
        <w:rPr>
          <w:rFonts w:hint="eastAsia" w:ascii="楷体_GB2312" w:hAnsi="仿宋" w:eastAsia="楷体_GB2312"/>
          <w:bCs/>
          <w:spacing w:val="-4"/>
          <w:sz w:val="32"/>
          <w:szCs w:val="32"/>
        </w:rPr>
        <w:t>该项目资金</w:t>
      </w:r>
      <w:r>
        <w:rPr>
          <w:rFonts w:hint="eastAsia" w:ascii="楷体_GB2312" w:hAnsi="仿宋" w:eastAsia="楷体_GB2312"/>
          <w:bCs/>
          <w:spacing w:val="-4"/>
          <w:sz w:val="32"/>
          <w:szCs w:val="32"/>
          <w:lang w:eastAsia="zh-CN"/>
        </w:rPr>
        <w:t>52.6</w:t>
      </w:r>
      <w:r>
        <w:rPr>
          <w:rFonts w:hint="eastAsia" w:ascii="楷体_GB2312" w:hAnsi="仿宋" w:eastAsia="楷体_GB2312"/>
          <w:bCs/>
          <w:spacing w:val="-4"/>
          <w:sz w:val="32"/>
          <w:szCs w:val="32"/>
        </w:rPr>
        <w:t>万元，主要使用在</w:t>
      </w:r>
      <w:bookmarkEnd w:id="0"/>
      <w:r>
        <w:rPr>
          <w:rFonts w:hint="eastAsia" w:ascii="楷体_GB2312" w:hAnsi="仿宋" w:eastAsia="楷体_GB2312"/>
          <w:bCs/>
          <w:spacing w:val="-4"/>
          <w:sz w:val="32"/>
          <w:szCs w:val="32"/>
          <w:lang w:val="en-US" w:eastAsia="zh-CN"/>
        </w:rPr>
        <w:t>1-10</w:t>
      </w:r>
      <w:r>
        <w:rPr>
          <w:rFonts w:hint="eastAsia" w:ascii="楷体_GB2312" w:hAnsi="仿宋" w:eastAsia="楷体_GB2312"/>
          <w:bCs/>
          <w:spacing w:val="-4"/>
          <w:sz w:val="32"/>
          <w:szCs w:val="32"/>
        </w:rPr>
        <w:t>村实施，</w:t>
      </w:r>
      <w:r>
        <w:rPr>
          <w:rFonts w:hint="eastAsia" w:ascii="楷体_GB2312" w:hAnsi="仿宋" w:eastAsia="楷体_GB2312"/>
          <w:bCs/>
          <w:spacing w:val="-4"/>
          <w:sz w:val="32"/>
          <w:szCs w:val="32"/>
          <w:lang w:val="en-US" w:eastAsia="zh-CN"/>
        </w:rPr>
        <w:t>526</w:t>
      </w:r>
      <w:r>
        <w:rPr>
          <w:rFonts w:hint="eastAsia" w:ascii="楷体_GB2312" w:hAnsi="仿宋" w:eastAsia="楷体_GB2312"/>
          <w:bCs/>
          <w:spacing w:val="-4"/>
          <w:sz w:val="32"/>
          <w:szCs w:val="32"/>
        </w:rPr>
        <w:t>名贫困人员，每人补助资金</w:t>
      </w:r>
      <w:r>
        <w:rPr>
          <w:rFonts w:ascii="楷体_GB2312" w:hAnsi="仿宋" w:eastAsia="楷体_GB2312"/>
          <w:bCs/>
          <w:spacing w:val="-4"/>
          <w:sz w:val="32"/>
          <w:szCs w:val="32"/>
        </w:rPr>
        <w:t>1000</w:t>
      </w:r>
      <w:r>
        <w:rPr>
          <w:rFonts w:hint="eastAsia" w:ascii="楷体_GB2312" w:hAnsi="仿宋" w:eastAsia="楷体_GB2312"/>
          <w:bCs/>
          <w:spacing w:val="-4"/>
          <w:sz w:val="32"/>
          <w:szCs w:val="32"/>
        </w:rPr>
        <w:t>元，总计</w:t>
      </w:r>
      <w:r>
        <w:rPr>
          <w:rFonts w:hint="eastAsia" w:ascii="楷体_GB2312" w:hAnsi="仿宋" w:eastAsia="楷体_GB2312"/>
          <w:bCs/>
          <w:spacing w:val="-4"/>
          <w:sz w:val="32"/>
          <w:szCs w:val="32"/>
          <w:lang w:eastAsia="zh-CN"/>
        </w:rPr>
        <w:t>52.6</w:t>
      </w:r>
      <w:r>
        <w:rPr>
          <w:rFonts w:hint="eastAsia" w:ascii="楷体_GB2312" w:hAnsi="仿宋" w:eastAsia="楷体_GB2312"/>
          <w:bCs/>
          <w:spacing w:val="-4"/>
          <w:sz w:val="32"/>
          <w:szCs w:val="32"/>
        </w:rPr>
        <w:t>万元。</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该项目的及时有效实施，解决了有就业意愿的贫困户就业问题，为贫困户创业增加动力，降低投入成本，增加贫困户的收入，使得群众切实享受到土地清理再分配产生的效益，为精准扶贫、精准脱贫奠定坚实的基础。</w:t>
      </w:r>
    </w:p>
    <w:p>
      <w:pPr>
        <w:adjustRightInd w:val="0"/>
        <w:snapToGrid w:val="0"/>
        <w:spacing w:line="360" w:lineRule="auto"/>
        <w:ind w:firstLine="627" w:firstLineChars="200"/>
        <w:rPr>
          <w:rFonts w:ascii="楷体_GB2312" w:hAnsi="仿宋" w:eastAsia="楷体_GB2312"/>
          <w:bCs/>
          <w:spacing w:val="-4"/>
          <w:sz w:val="32"/>
          <w:szCs w:val="32"/>
        </w:rPr>
      </w:pPr>
      <w:r>
        <w:rPr>
          <w:rFonts w:ascii="楷体_GB2312" w:hAnsi="仿宋" w:eastAsia="楷体_GB2312"/>
          <w:b/>
          <w:bCs/>
          <w:spacing w:val="-4"/>
          <w:sz w:val="32"/>
          <w:szCs w:val="32"/>
        </w:rPr>
        <w:t>2</w:t>
      </w:r>
      <w:r>
        <w:rPr>
          <w:rFonts w:hint="eastAsia" w:ascii="楷体_GB2312" w:hAnsi="仿宋" w:eastAsia="楷体_GB2312"/>
          <w:b/>
          <w:bCs/>
          <w:spacing w:val="-4"/>
          <w:sz w:val="32"/>
          <w:szCs w:val="32"/>
        </w:rPr>
        <w:t>、项目基本性质。</w:t>
      </w:r>
      <w:r>
        <w:rPr>
          <w:rFonts w:hint="eastAsia" w:ascii="楷体_GB2312" w:hAnsi="仿宋" w:eastAsia="楷体_GB2312"/>
          <w:bCs/>
          <w:spacing w:val="-4"/>
          <w:sz w:val="32"/>
          <w:szCs w:val="32"/>
        </w:rPr>
        <w:t>本项目性质为延续项目。</w:t>
      </w:r>
    </w:p>
    <w:p>
      <w:pPr>
        <w:adjustRightInd w:val="0"/>
        <w:snapToGrid w:val="0"/>
        <w:spacing w:line="360" w:lineRule="auto"/>
        <w:ind w:firstLine="627" w:firstLineChars="200"/>
        <w:rPr>
          <w:rFonts w:ascii="楷体_GB2312" w:hAnsi="仿宋" w:eastAsia="楷体_GB2312"/>
          <w:bCs/>
          <w:spacing w:val="-4"/>
          <w:sz w:val="32"/>
          <w:szCs w:val="32"/>
        </w:rPr>
      </w:pPr>
      <w:r>
        <w:rPr>
          <w:rFonts w:ascii="楷体_GB2312" w:hAnsi="仿宋" w:eastAsia="楷体_GB2312"/>
          <w:b/>
          <w:bCs/>
          <w:spacing w:val="-4"/>
          <w:sz w:val="32"/>
          <w:szCs w:val="32"/>
        </w:rPr>
        <w:t>3</w:t>
      </w:r>
      <w:r>
        <w:rPr>
          <w:rFonts w:hint="eastAsia" w:ascii="楷体_GB2312" w:hAnsi="仿宋" w:eastAsia="楷体_GB2312"/>
          <w:b/>
          <w:bCs/>
          <w:spacing w:val="-4"/>
          <w:sz w:val="32"/>
          <w:szCs w:val="32"/>
        </w:rPr>
        <w:t>、项目用途及范围。</w:t>
      </w:r>
      <w:r>
        <w:rPr>
          <w:rFonts w:hint="eastAsia" w:ascii="楷体_GB2312" w:hAnsi="仿宋" w:eastAsia="楷体_GB2312"/>
          <w:bCs/>
          <w:spacing w:val="-4"/>
          <w:sz w:val="32"/>
          <w:szCs w:val="32"/>
        </w:rPr>
        <w:t>该项目资金</w:t>
      </w:r>
      <w:r>
        <w:rPr>
          <w:rFonts w:hint="eastAsia" w:ascii="楷体_GB2312" w:hAnsi="仿宋" w:eastAsia="楷体_GB2312"/>
          <w:bCs/>
          <w:spacing w:val="-4"/>
          <w:sz w:val="32"/>
          <w:szCs w:val="32"/>
          <w:lang w:eastAsia="zh-CN"/>
        </w:rPr>
        <w:t>52.6</w:t>
      </w:r>
      <w:r>
        <w:rPr>
          <w:rFonts w:hint="eastAsia" w:ascii="楷体_GB2312" w:hAnsi="仿宋" w:eastAsia="楷体_GB2312"/>
          <w:bCs/>
          <w:spacing w:val="-4"/>
          <w:sz w:val="32"/>
          <w:szCs w:val="32"/>
        </w:rPr>
        <w:t>万元，主要使用在</w:t>
      </w:r>
      <w:r>
        <w:rPr>
          <w:rFonts w:hint="eastAsia" w:ascii="楷体_GB2312" w:hAnsi="仿宋" w:eastAsia="楷体_GB2312"/>
          <w:bCs/>
          <w:spacing w:val="-4"/>
          <w:sz w:val="32"/>
          <w:szCs w:val="32"/>
          <w:lang w:val="en-US" w:eastAsia="zh-CN"/>
        </w:rPr>
        <w:t>1-10</w:t>
      </w:r>
      <w:r>
        <w:rPr>
          <w:rFonts w:hint="eastAsia" w:ascii="楷体_GB2312" w:hAnsi="仿宋" w:eastAsia="楷体_GB2312"/>
          <w:bCs/>
          <w:spacing w:val="-4"/>
          <w:sz w:val="32"/>
          <w:szCs w:val="32"/>
        </w:rPr>
        <w:t>村实施，</w:t>
      </w:r>
      <w:r>
        <w:rPr>
          <w:rFonts w:hint="eastAsia" w:ascii="楷体_GB2312" w:hAnsi="仿宋" w:eastAsia="楷体_GB2312"/>
          <w:bCs/>
          <w:spacing w:val="-4"/>
          <w:sz w:val="32"/>
          <w:szCs w:val="32"/>
          <w:lang w:val="en-US" w:eastAsia="zh-CN"/>
        </w:rPr>
        <w:t>526</w:t>
      </w:r>
      <w:r>
        <w:rPr>
          <w:rFonts w:hint="eastAsia" w:ascii="楷体_GB2312" w:hAnsi="仿宋" w:eastAsia="楷体_GB2312"/>
          <w:bCs/>
          <w:spacing w:val="-4"/>
          <w:sz w:val="32"/>
          <w:szCs w:val="32"/>
        </w:rPr>
        <w:t>名贫困人员，每人补助资金</w:t>
      </w:r>
      <w:r>
        <w:rPr>
          <w:rFonts w:ascii="楷体_GB2312" w:hAnsi="仿宋" w:eastAsia="楷体_GB2312"/>
          <w:bCs/>
          <w:spacing w:val="-4"/>
          <w:sz w:val="32"/>
          <w:szCs w:val="32"/>
        </w:rPr>
        <w:t>1000</w:t>
      </w:r>
      <w:r>
        <w:rPr>
          <w:rFonts w:hint="eastAsia" w:ascii="楷体_GB2312" w:hAnsi="仿宋" w:eastAsia="楷体_GB2312"/>
          <w:bCs/>
          <w:spacing w:val="-4"/>
          <w:sz w:val="32"/>
          <w:szCs w:val="32"/>
        </w:rPr>
        <w:t>元，总计</w:t>
      </w:r>
      <w:r>
        <w:rPr>
          <w:rFonts w:hint="eastAsia" w:ascii="楷体_GB2312" w:hAnsi="仿宋" w:eastAsia="楷体_GB2312"/>
          <w:bCs/>
          <w:spacing w:val="-4"/>
          <w:sz w:val="32"/>
          <w:szCs w:val="32"/>
          <w:lang w:eastAsia="zh-CN"/>
        </w:rPr>
        <w:t>52.6</w:t>
      </w:r>
      <w:r>
        <w:rPr>
          <w:rFonts w:hint="eastAsia" w:ascii="楷体_GB2312" w:hAnsi="仿宋" w:eastAsia="楷体_GB2312"/>
          <w:bCs/>
          <w:spacing w:val="-4"/>
          <w:sz w:val="32"/>
          <w:szCs w:val="32"/>
        </w:rPr>
        <w:t>万元。</w:t>
      </w:r>
    </w:p>
    <w:p>
      <w:pPr>
        <w:adjustRightInd w:val="0"/>
        <w:snapToGrid w:val="0"/>
        <w:spacing w:line="360" w:lineRule="auto"/>
        <w:ind w:firstLine="627" w:firstLineChars="200"/>
        <w:rPr>
          <w:rStyle w:val="20"/>
          <w:rFonts w:ascii="楷体_GB2312" w:hAnsi="黑体" w:eastAsia="楷体_GB2312"/>
          <w:spacing w:val="-4"/>
          <w:sz w:val="32"/>
          <w:szCs w:val="32"/>
        </w:rPr>
      </w:pPr>
      <w:r>
        <w:rPr>
          <w:rStyle w:val="20"/>
          <w:rFonts w:hint="eastAsia" w:ascii="楷体_GB2312" w:hAnsi="黑体" w:eastAsia="楷体_GB2312"/>
          <w:spacing w:val="-4"/>
          <w:sz w:val="32"/>
          <w:szCs w:val="32"/>
        </w:rPr>
        <w:t>二、项目资金使用及管理情况</w:t>
      </w:r>
    </w:p>
    <w:p>
      <w:pPr>
        <w:adjustRightInd w:val="0"/>
        <w:snapToGrid w:val="0"/>
        <w:spacing w:line="360" w:lineRule="auto"/>
        <w:ind w:firstLine="627" w:firstLineChars="200"/>
        <w:outlineLvl w:val="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（一）项目资金安排落实、总投入等情况分析。</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该项目资金</w:t>
      </w:r>
      <w:r>
        <w:rPr>
          <w:rFonts w:hint="eastAsia" w:ascii="楷体_GB2312" w:hAnsi="仿宋" w:eastAsia="楷体_GB2312"/>
          <w:bCs/>
          <w:spacing w:val="-4"/>
          <w:sz w:val="32"/>
          <w:szCs w:val="32"/>
          <w:lang w:eastAsia="zh-CN"/>
        </w:rPr>
        <w:t>52.6</w:t>
      </w:r>
      <w:r>
        <w:rPr>
          <w:rFonts w:hint="eastAsia" w:ascii="楷体_GB2312" w:hAnsi="仿宋" w:eastAsia="楷体_GB2312"/>
          <w:bCs/>
          <w:spacing w:val="-4"/>
          <w:sz w:val="32"/>
          <w:szCs w:val="32"/>
        </w:rPr>
        <w:t>万元，主要使用在</w:t>
      </w:r>
      <w:r>
        <w:rPr>
          <w:rFonts w:hint="eastAsia" w:ascii="楷体_GB2312" w:hAnsi="仿宋" w:eastAsia="楷体_GB2312"/>
          <w:bCs/>
          <w:spacing w:val="-4"/>
          <w:sz w:val="32"/>
          <w:szCs w:val="32"/>
          <w:lang w:val="en-US" w:eastAsia="zh-CN"/>
        </w:rPr>
        <w:t>1-10</w:t>
      </w:r>
      <w:r>
        <w:rPr>
          <w:rFonts w:hint="eastAsia" w:ascii="楷体_GB2312" w:hAnsi="仿宋" w:eastAsia="楷体_GB2312"/>
          <w:bCs/>
          <w:spacing w:val="-4"/>
          <w:sz w:val="32"/>
          <w:szCs w:val="32"/>
        </w:rPr>
        <w:t>村实施，</w:t>
      </w:r>
      <w:r>
        <w:rPr>
          <w:rFonts w:hint="eastAsia" w:ascii="楷体_GB2312" w:hAnsi="仿宋" w:eastAsia="楷体_GB2312"/>
          <w:bCs/>
          <w:spacing w:val="-4"/>
          <w:sz w:val="32"/>
          <w:szCs w:val="32"/>
          <w:lang w:val="en-US" w:eastAsia="zh-CN"/>
        </w:rPr>
        <w:t>526</w:t>
      </w:r>
      <w:r>
        <w:rPr>
          <w:rFonts w:hint="eastAsia" w:ascii="楷体_GB2312" w:hAnsi="仿宋" w:eastAsia="楷体_GB2312"/>
          <w:bCs/>
          <w:spacing w:val="-4"/>
          <w:sz w:val="32"/>
          <w:szCs w:val="32"/>
        </w:rPr>
        <w:t>名贫困人员，每人补助资金</w:t>
      </w:r>
      <w:r>
        <w:rPr>
          <w:rFonts w:ascii="楷体_GB2312" w:hAnsi="仿宋" w:eastAsia="楷体_GB2312"/>
          <w:bCs/>
          <w:spacing w:val="-4"/>
          <w:sz w:val="32"/>
          <w:szCs w:val="32"/>
        </w:rPr>
        <w:t>1000</w:t>
      </w:r>
      <w:r>
        <w:rPr>
          <w:rFonts w:hint="eastAsia" w:ascii="楷体_GB2312" w:hAnsi="仿宋" w:eastAsia="楷体_GB2312"/>
          <w:bCs/>
          <w:spacing w:val="-4"/>
          <w:sz w:val="32"/>
          <w:szCs w:val="32"/>
        </w:rPr>
        <w:t>元，总计</w:t>
      </w:r>
      <w:r>
        <w:rPr>
          <w:rFonts w:hint="eastAsia" w:ascii="楷体_GB2312" w:hAnsi="仿宋" w:eastAsia="楷体_GB2312"/>
          <w:bCs/>
          <w:spacing w:val="-4"/>
          <w:sz w:val="32"/>
          <w:szCs w:val="32"/>
          <w:lang w:eastAsia="zh-CN"/>
        </w:rPr>
        <w:t>52.6</w:t>
      </w:r>
      <w:r>
        <w:rPr>
          <w:rFonts w:hint="eastAsia" w:ascii="楷体_GB2312" w:hAnsi="仿宋" w:eastAsia="楷体_GB2312"/>
          <w:bCs/>
          <w:spacing w:val="-4"/>
          <w:sz w:val="32"/>
          <w:szCs w:val="32"/>
        </w:rPr>
        <w:t>万元。</w:t>
      </w:r>
    </w:p>
    <w:p>
      <w:pPr>
        <w:adjustRightInd w:val="0"/>
        <w:snapToGrid w:val="0"/>
        <w:spacing w:line="360" w:lineRule="auto"/>
        <w:ind w:firstLine="627" w:firstLineChars="200"/>
        <w:outlineLvl w:val="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（二）项目资金实际使用情况分析。</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本项目实际支付资金</w:t>
      </w:r>
      <w:r>
        <w:rPr>
          <w:rFonts w:hint="eastAsia" w:ascii="楷体_GB2312" w:hAnsi="仿宋" w:eastAsia="楷体_GB2312"/>
          <w:bCs/>
          <w:spacing w:val="-4"/>
          <w:sz w:val="32"/>
          <w:szCs w:val="32"/>
          <w:lang w:eastAsia="zh-CN"/>
        </w:rPr>
        <w:t>52.6</w:t>
      </w:r>
      <w:r>
        <w:rPr>
          <w:rFonts w:hint="eastAsia" w:ascii="楷体_GB2312" w:hAnsi="仿宋" w:eastAsia="楷体_GB2312"/>
          <w:bCs/>
          <w:spacing w:val="-4"/>
          <w:sz w:val="32"/>
          <w:szCs w:val="32"/>
        </w:rPr>
        <w:t>万元，预算执行率</w:t>
      </w:r>
      <w:r>
        <w:rPr>
          <w:rFonts w:ascii="楷体_GB2312" w:hAnsi="仿宋" w:eastAsia="楷体_GB2312"/>
          <w:bCs/>
          <w:spacing w:val="-4"/>
          <w:sz w:val="32"/>
          <w:szCs w:val="32"/>
        </w:rPr>
        <w:t>100%</w:t>
      </w:r>
      <w:r>
        <w:rPr>
          <w:rFonts w:hint="eastAsia" w:ascii="楷体_GB2312" w:hAnsi="仿宋" w:eastAsia="楷体_GB2312"/>
          <w:bCs/>
          <w:spacing w:val="-4"/>
          <w:sz w:val="32"/>
          <w:szCs w:val="32"/>
        </w:rPr>
        <w:t>，主要使用在</w:t>
      </w:r>
      <w:r>
        <w:rPr>
          <w:rFonts w:hint="eastAsia" w:ascii="楷体_GB2312" w:hAnsi="仿宋" w:eastAsia="楷体_GB2312"/>
          <w:bCs/>
          <w:spacing w:val="-4"/>
          <w:sz w:val="32"/>
          <w:szCs w:val="32"/>
          <w:lang w:val="en-US" w:eastAsia="zh-CN"/>
        </w:rPr>
        <w:t>1-10</w:t>
      </w:r>
      <w:r>
        <w:rPr>
          <w:rFonts w:hint="eastAsia" w:ascii="楷体_GB2312" w:hAnsi="仿宋" w:eastAsia="楷体_GB2312"/>
          <w:bCs/>
          <w:spacing w:val="-4"/>
          <w:sz w:val="32"/>
          <w:szCs w:val="32"/>
        </w:rPr>
        <w:t>村实施，</w:t>
      </w:r>
      <w:r>
        <w:rPr>
          <w:rFonts w:hint="eastAsia" w:ascii="楷体_GB2312" w:hAnsi="仿宋" w:eastAsia="楷体_GB2312"/>
          <w:bCs/>
          <w:spacing w:val="-4"/>
          <w:sz w:val="32"/>
          <w:szCs w:val="32"/>
          <w:lang w:val="en-US" w:eastAsia="zh-CN"/>
        </w:rPr>
        <w:t>526</w:t>
      </w:r>
      <w:r>
        <w:rPr>
          <w:rFonts w:hint="eastAsia" w:ascii="楷体_GB2312" w:hAnsi="仿宋" w:eastAsia="楷体_GB2312"/>
          <w:bCs/>
          <w:spacing w:val="-4"/>
          <w:sz w:val="32"/>
          <w:szCs w:val="32"/>
        </w:rPr>
        <w:t>名贫困人员，每人补助资金</w:t>
      </w:r>
      <w:r>
        <w:rPr>
          <w:rFonts w:ascii="楷体_GB2312" w:hAnsi="仿宋" w:eastAsia="楷体_GB2312"/>
          <w:bCs/>
          <w:spacing w:val="-4"/>
          <w:sz w:val="32"/>
          <w:szCs w:val="32"/>
        </w:rPr>
        <w:t>1000</w:t>
      </w:r>
      <w:r>
        <w:rPr>
          <w:rFonts w:hint="eastAsia" w:ascii="楷体_GB2312" w:hAnsi="仿宋" w:eastAsia="楷体_GB2312"/>
          <w:bCs/>
          <w:spacing w:val="-4"/>
          <w:sz w:val="32"/>
          <w:szCs w:val="32"/>
        </w:rPr>
        <w:t>元，总计</w:t>
      </w:r>
      <w:r>
        <w:rPr>
          <w:rFonts w:hint="eastAsia" w:ascii="楷体_GB2312" w:hAnsi="仿宋" w:eastAsia="楷体_GB2312"/>
          <w:bCs/>
          <w:spacing w:val="-4"/>
          <w:sz w:val="32"/>
          <w:szCs w:val="32"/>
          <w:lang w:eastAsia="zh-CN"/>
        </w:rPr>
        <w:t>52.6</w:t>
      </w:r>
      <w:r>
        <w:rPr>
          <w:rFonts w:hint="eastAsia" w:ascii="楷体_GB2312" w:hAnsi="仿宋" w:eastAsia="楷体_GB2312"/>
          <w:bCs/>
          <w:spacing w:val="-4"/>
          <w:sz w:val="32"/>
          <w:szCs w:val="32"/>
        </w:rPr>
        <w:t>万元。</w:t>
      </w:r>
    </w:p>
    <w:p>
      <w:pPr>
        <w:adjustRightInd w:val="0"/>
        <w:snapToGrid w:val="0"/>
        <w:spacing w:line="360" w:lineRule="auto"/>
        <w:ind w:firstLine="627" w:firstLineChars="20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（三）项目资金管理情况分析。</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为确保该项目专项资金合理有效使用，我乡严格按财政局要求制定并完善相关报账手续。本项目支出符合财务管理制度，包括乡财支付中心工作管理制度、财务收支审批制度、财务稽核制度、财务牵制制度、会计主管岗位职责等制度规定，资金的拨付有完整的审批程序和手续，不存在截留、挤占、挪用等情况。</w:t>
      </w:r>
    </w:p>
    <w:p>
      <w:pPr>
        <w:adjustRightInd w:val="0"/>
        <w:snapToGrid w:val="0"/>
        <w:spacing w:line="360" w:lineRule="auto"/>
        <w:ind w:firstLine="627" w:firstLineChars="200"/>
        <w:outlineLvl w:val="0"/>
        <w:rPr>
          <w:rStyle w:val="20"/>
          <w:rFonts w:ascii="楷体_GB2312" w:hAnsi="黑体" w:eastAsia="楷体_GB2312"/>
          <w:spacing w:val="-4"/>
          <w:sz w:val="32"/>
          <w:szCs w:val="32"/>
        </w:rPr>
      </w:pPr>
      <w:r>
        <w:rPr>
          <w:rStyle w:val="20"/>
          <w:rFonts w:hint="eastAsia" w:ascii="楷体_GB2312" w:hAnsi="黑体" w:eastAsia="楷体_GB2312"/>
          <w:spacing w:val="-4"/>
          <w:sz w:val="32"/>
          <w:szCs w:val="32"/>
        </w:rPr>
        <w:t>三、项目组织实施情况</w:t>
      </w:r>
    </w:p>
    <w:p>
      <w:pPr>
        <w:adjustRightInd w:val="0"/>
        <w:snapToGrid w:val="0"/>
        <w:spacing w:line="360" w:lineRule="auto"/>
        <w:ind w:firstLine="627" w:firstLineChars="200"/>
        <w:outlineLvl w:val="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（一）项目组织情况分析。</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一是该项目由</w:t>
      </w:r>
      <w:r>
        <w:rPr>
          <w:rFonts w:hint="eastAsia" w:ascii="楷体_GB2312" w:hAnsi="仿宋" w:eastAsia="楷体_GB2312"/>
          <w:bCs/>
          <w:spacing w:val="-4"/>
          <w:sz w:val="32"/>
          <w:szCs w:val="32"/>
          <w:lang w:eastAsia="zh-CN"/>
        </w:rPr>
        <w:t>英也尔乡</w:t>
      </w:r>
      <w:r>
        <w:rPr>
          <w:rFonts w:hint="eastAsia" w:ascii="楷体_GB2312" w:hAnsi="仿宋" w:eastAsia="楷体_GB2312"/>
          <w:bCs/>
          <w:spacing w:val="-4"/>
          <w:sz w:val="32"/>
          <w:szCs w:val="32"/>
        </w:rPr>
        <w:t>人民政府组织实施。实施过程均按照本单位制定的管理制度执行；</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二是本项目不存在调整情况；</w:t>
      </w:r>
    </w:p>
    <w:p>
      <w:pPr>
        <w:adjustRightInd w:val="0"/>
        <w:snapToGrid w:val="0"/>
        <w:spacing w:line="360" w:lineRule="auto"/>
        <w:ind w:firstLine="627" w:firstLineChars="200"/>
        <w:outlineLvl w:val="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（二）项目管理情况分析。</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为确保该项目专项资金合理有效使用，我乡严格按财政局要求制定并完善相关报账手续。本项目支出符合财务管理制度，包括乡财支付中心工作管理制度、财务收支审批制度、财务稽核制度、财务牵制制度、会计主管岗位职责等制度规定，资金的拨付有完整的审批程序和手续，不存在截留、挤占、挪用等情况。</w:t>
      </w:r>
    </w:p>
    <w:p>
      <w:pPr>
        <w:adjustRightInd w:val="0"/>
        <w:snapToGrid w:val="0"/>
        <w:spacing w:line="360" w:lineRule="auto"/>
        <w:ind w:firstLine="627" w:firstLineChars="200"/>
        <w:outlineLvl w:val="0"/>
        <w:rPr>
          <w:rStyle w:val="20"/>
          <w:rFonts w:ascii="楷体_GB2312" w:hAnsi="黑体" w:eastAsia="楷体_GB2312"/>
        </w:rPr>
      </w:pPr>
      <w:r>
        <w:rPr>
          <w:rStyle w:val="20"/>
          <w:rFonts w:hint="eastAsia" w:ascii="楷体_GB2312" w:hAnsi="黑体" w:eastAsia="楷体_GB2312"/>
          <w:spacing w:val="-4"/>
          <w:sz w:val="32"/>
          <w:szCs w:val="32"/>
        </w:rPr>
        <w:t>四、项目绩效情况</w:t>
      </w:r>
    </w:p>
    <w:p>
      <w:pPr>
        <w:adjustRightInd w:val="0"/>
        <w:snapToGrid w:val="0"/>
        <w:spacing w:line="360" w:lineRule="auto"/>
        <w:ind w:firstLine="627" w:firstLineChars="200"/>
        <w:outlineLvl w:val="0"/>
        <w:rPr>
          <w:rStyle w:val="20"/>
          <w:rFonts w:ascii="楷体_GB2312" w:hAnsi="楷体" w:eastAsia="楷体_GB2312"/>
          <w:bCs w:val="0"/>
          <w:spacing w:val="-4"/>
          <w:sz w:val="32"/>
          <w:szCs w:val="32"/>
        </w:rPr>
      </w:pPr>
      <w:r>
        <w:rPr>
          <w:rFonts w:hint="eastAsia" w:ascii="楷体_GB2312" w:hAnsi="楷体" w:eastAsia="楷体_GB2312"/>
          <w:b/>
          <w:spacing w:val="-4"/>
          <w:sz w:val="32"/>
          <w:szCs w:val="32"/>
        </w:rPr>
        <w:t>（一）项目绩效目标完成情况分析。</w:t>
      </w:r>
    </w:p>
    <w:p>
      <w:pPr>
        <w:adjustRightInd w:val="0"/>
        <w:snapToGrid w:val="0"/>
        <w:spacing w:line="360" w:lineRule="auto"/>
        <w:ind w:firstLine="624" w:firstLineChars="200"/>
        <w:rPr>
          <w:rFonts w:ascii="楷体_GB2312" w:hAnsi="仿宋" w:eastAsia="楷体_GB2312"/>
          <w:spacing w:val="-4"/>
          <w:sz w:val="32"/>
          <w:szCs w:val="32"/>
        </w:rPr>
      </w:pPr>
      <w:r>
        <w:rPr>
          <w:rFonts w:hint="eastAsia" w:ascii="楷体_GB2312" w:hAnsi="仿宋" w:eastAsia="楷体_GB2312"/>
          <w:spacing w:val="-4"/>
          <w:sz w:val="32"/>
          <w:szCs w:val="32"/>
        </w:rPr>
        <w:t>本项目共设置一级指标</w:t>
      </w:r>
      <w:r>
        <w:rPr>
          <w:rFonts w:ascii="楷体_GB2312" w:hAnsi="仿宋" w:eastAsia="楷体_GB2312"/>
          <w:spacing w:val="-4"/>
          <w:sz w:val="32"/>
          <w:szCs w:val="32"/>
        </w:rPr>
        <w:t>3</w:t>
      </w:r>
      <w:r>
        <w:rPr>
          <w:rFonts w:hint="eastAsia" w:ascii="楷体_GB2312" w:hAnsi="仿宋" w:eastAsia="楷体_GB2312"/>
          <w:spacing w:val="-4"/>
          <w:sz w:val="32"/>
          <w:szCs w:val="32"/>
        </w:rPr>
        <w:t>个，已完成指标</w:t>
      </w:r>
      <w:r>
        <w:rPr>
          <w:rFonts w:ascii="楷体_GB2312" w:hAnsi="仿宋" w:eastAsia="楷体_GB2312"/>
          <w:spacing w:val="-4"/>
          <w:sz w:val="32"/>
          <w:szCs w:val="32"/>
        </w:rPr>
        <w:t>3</w:t>
      </w:r>
      <w:r>
        <w:rPr>
          <w:rFonts w:hint="eastAsia" w:ascii="楷体_GB2312" w:hAnsi="仿宋" w:eastAsia="楷体_GB2312"/>
          <w:spacing w:val="-4"/>
          <w:sz w:val="32"/>
          <w:szCs w:val="32"/>
        </w:rPr>
        <w:t>个，指标完成率为</w:t>
      </w:r>
      <w:r>
        <w:rPr>
          <w:rFonts w:ascii="楷体_GB2312" w:hAnsi="仿宋" w:eastAsia="楷体_GB2312"/>
          <w:spacing w:val="-4"/>
          <w:sz w:val="32"/>
          <w:szCs w:val="32"/>
        </w:rPr>
        <w:t>100%</w:t>
      </w:r>
      <w:r>
        <w:rPr>
          <w:rFonts w:hint="eastAsia" w:ascii="楷体_GB2312" w:hAnsi="仿宋" w:eastAsia="楷体_GB2312"/>
          <w:spacing w:val="-4"/>
          <w:sz w:val="32"/>
          <w:szCs w:val="32"/>
        </w:rPr>
        <w:t>。</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spacing w:val="-4"/>
          <w:sz w:val="32"/>
          <w:szCs w:val="32"/>
        </w:rPr>
        <w:t>经济性：</w:t>
      </w:r>
      <w:r>
        <w:rPr>
          <w:rFonts w:hint="eastAsia" w:ascii="楷体_GB2312" w:hAnsi="仿宋" w:eastAsia="楷体_GB2312"/>
          <w:bCs/>
          <w:spacing w:val="-4"/>
          <w:sz w:val="32"/>
          <w:szCs w:val="32"/>
        </w:rPr>
        <w:t>该项目的及时有效实施，解决了有就业意愿的贫困户就业问题，为贫困户创业增加动力，降低投入成本，增加贫困户的收入。</w:t>
      </w:r>
    </w:p>
    <w:p>
      <w:pPr>
        <w:adjustRightInd w:val="0"/>
        <w:snapToGrid w:val="0"/>
        <w:spacing w:line="360" w:lineRule="auto"/>
        <w:ind w:firstLine="624" w:firstLineChars="200"/>
        <w:rPr>
          <w:rFonts w:ascii="楷体_GB2312" w:hAnsi="仿宋" w:eastAsia="楷体_GB2312"/>
          <w:spacing w:val="-4"/>
          <w:sz w:val="32"/>
          <w:szCs w:val="32"/>
        </w:rPr>
      </w:pPr>
      <w:r>
        <w:rPr>
          <w:rFonts w:hint="eastAsia" w:ascii="楷体_GB2312" w:hAnsi="仿宋" w:eastAsia="楷体_GB2312"/>
          <w:spacing w:val="-4"/>
          <w:sz w:val="32"/>
          <w:szCs w:val="32"/>
        </w:rPr>
        <w:t>效率性：该项目</w:t>
      </w:r>
      <w:r>
        <w:rPr>
          <w:rFonts w:ascii="楷体_GB2312" w:hAnsi="仿宋" w:eastAsia="楷体_GB2312"/>
          <w:spacing w:val="-4"/>
          <w:sz w:val="32"/>
          <w:szCs w:val="32"/>
        </w:rPr>
        <w:t>2018</w:t>
      </w:r>
      <w:r>
        <w:rPr>
          <w:rFonts w:hint="eastAsia" w:ascii="楷体_GB2312" w:hAnsi="仿宋" w:eastAsia="楷体_GB2312"/>
          <w:spacing w:val="-4"/>
          <w:sz w:val="32"/>
          <w:szCs w:val="32"/>
        </w:rPr>
        <w:t>年全部实施完毕</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spacing w:val="-4"/>
          <w:sz w:val="32"/>
          <w:szCs w:val="32"/>
        </w:rPr>
        <w:t>效益性：</w:t>
      </w:r>
      <w:r>
        <w:rPr>
          <w:rFonts w:hint="eastAsia" w:ascii="楷体_GB2312" w:hAnsi="仿宋" w:eastAsia="楷体_GB2312"/>
          <w:bCs/>
          <w:spacing w:val="-4"/>
          <w:sz w:val="32"/>
          <w:szCs w:val="32"/>
        </w:rPr>
        <w:t>该项目的及时有效实施，解决了有就业意愿的贫困户就业问题，为贫困户创业增加动力，降低投入成本，增加贫困户的收入，使得群众切实享受到土地清理再分配产生的效益，为精准扶贫、精准脱贫奠定坚实的基础。</w:t>
      </w:r>
    </w:p>
    <w:p>
      <w:pPr>
        <w:adjustRightInd w:val="0"/>
        <w:snapToGrid w:val="0"/>
        <w:spacing w:line="360" w:lineRule="auto"/>
        <w:ind w:firstLine="627" w:firstLineChars="200"/>
        <w:rPr>
          <w:rFonts w:ascii="楷体_GB2312" w:hAnsi="楷体" w:eastAsia="楷体_GB2312"/>
          <w:b/>
          <w:spacing w:val="-4"/>
          <w:sz w:val="32"/>
          <w:szCs w:val="32"/>
        </w:rPr>
      </w:pPr>
      <w:r>
        <w:rPr>
          <w:rFonts w:hint="eastAsia" w:ascii="楷体_GB2312" w:hAnsi="楷体" w:eastAsia="楷体_GB2312"/>
          <w:b/>
          <w:spacing w:val="-4"/>
          <w:sz w:val="32"/>
          <w:szCs w:val="32"/>
        </w:rPr>
        <w:t>（二）项目绩效目标未完成原因分析</w:t>
      </w:r>
    </w:p>
    <w:p>
      <w:pPr>
        <w:adjustRightInd w:val="0"/>
        <w:snapToGrid w:val="0"/>
        <w:spacing w:line="360" w:lineRule="auto"/>
        <w:ind w:firstLine="624" w:firstLineChars="200"/>
        <w:rPr>
          <w:rFonts w:ascii="楷体_GB2312" w:hAnsi="仿宋" w:eastAsia="楷体_GB2312"/>
          <w:spacing w:val="-4"/>
          <w:sz w:val="32"/>
          <w:szCs w:val="32"/>
        </w:rPr>
      </w:pPr>
      <w:r>
        <w:rPr>
          <w:rFonts w:ascii="楷体_GB2312" w:hAnsi="仿宋" w:eastAsia="楷体_GB2312"/>
          <w:spacing w:val="-4"/>
          <w:sz w:val="32"/>
          <w:szCs w:val="32"/>
        </w:rPr>
        <w:t>2018</w:t>
      </w:r>
      <w:r>
        <w:rPr>
          <w:rFonts w:hint="eastAsia" w:ascii="楷体_GB2312" w:hAnsi="仿宋" w:eastAsia="楷体_GB2312"/>
          <w:spacing w:val="-4"/>
          <w:sz w:val="32"/>
          <w:szCs w:val="32"/>
        </w:rPr>
        <w:t>年本项目绩效目标全部达成，不存在未完成原因分析。</w:t>
      </w:r>
    </w:p>
    <w:p>
      <w:pPr>
        <w:adjustRightInd w:val="0"/>
        <w:snapToGrid w:val="0"/>
        <w:spacing w:line="360" w:lineRule="auto"/>
        <w:ind w:firstLine="627" w:firstLineChars="200"/>
        <w:outlineLvl w:val="0"/>
        <w:rPr>
          <w:rStyle w:val="20"/>
          <w:rFonts w:ascii="楷体_GB2312" w:hAnsi="黑体" w:eastAsia="楷体_GB2312"/>
          <w:spacing w:val="-4"/>
          <w:sz w:val="32"/>
          <w:szCs w:val="32"/>
        </w:rPr>
      </w:pPr>
      <w:r>
        <w:rPr>
          <w:rStyle w:val="20"/>
          <w:rFonts w:hint="eastAsia" w:ascii="楷体_GB2312" w:hAnsi="黑体" w:eastAsia="楷体_GB2312"/>
          <w:spacing w:val="-4"/>
          <w:sz w:val="32"/>
          <w:szCs w:val="32"/>
        </w:rPr>
        <w:t>五、其他需要说明的问题</w:t>
      </w:r>
    </w:p>
    <w:p>
      <w:pPr>
        <w:adjustRightInd w:val="0"/>
        <w:snapToGrid w:val="0"/>
        <w:spacing w:line="360" w:lineRule="auto"/>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（一）后续工作计划。</w:t>
      </w:r>
    </w:p>
    <w:p>
      <w:pPr>
        <w:adjustRightInd w:val="0"/>
        <w:snapToGrid w:val="0"/>
        <w:spacing w:line="360" w:lineRule="auto"/>
        <w:ind w:firstLine="624" w:firstLineChars="200"/>
        <w:rPr>
          <w:rFonts w:ascii="楷体_GB2312" w:hAnsi="仿宋" w:eastAsia="楷体_GB2312"/>
          <w:spacing w:val="-4"/>
          <w:sz w:val="32"/>
          <w:szCs w:val="32"/>
        </w:rPr>
      </w:pPr>
      <w:r>
        <w:rPr>
          <w:rFonts w:hint="eastAsia" w:ascii="楷体_GB2312" w:hAnsi="仿宋" w:eastAsia="楷体_GB2312"/>
          <w:spacing w:val="-4"/>
          <w:sz w:val="32"/>
          <w:szCs w:val="32"/>
        </w:rPr>
        <w:t>该项目的实施极大的提高了贫困户创业能动力，今后我乡将继续加强人员的培训、管理，激发贫困户就业意愿，确保项目发挥出作用。</w:t>
      </w:r>
    </w:p>
    <w:p>
      <w:pPr>
        <w:adjustRightInd w:val="0"/>
        <w:snapToGrid w:val="0"/>
        <w:spacing w:line="360" w:lineRule="auto"/>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（二）主要经验及做法、存在问题和建议。</w:t>
      </w:r>
    </w:p>
    <w:p>
      <w:pPr>
        <w:adjustRightInd w:val="0"/>
        <w:snapToGrid w:val="0"/>
        <w:spacing w:line="360" w:lineRule="auto"/>
        <w:ind w:firstLine="627" w:firstLineChars="200"/>
        <w:rPr>
          <w:rFonts w:ascii="楷体_GB2312" w:hAnsi="仿宋" w:eastAsia="楷体_GB2312"/>
          <w:spacing w:val="-4"/>
          <w:sz w:val="32"/>
          <w:szCs w:val="32"/>
        </w:rPr>
      </w:pPr>
      <w:r>
        <w:rPr>
          <w:rFonts w:ascii="楷体_GB2312" w:hAnsi="仿宋" w:eastAsia="楷体_GB2312"/>
          <w:b/>
          <w:spacing w:val="-4"/>
          <w:sz w:val="32"/>
          <w:szCs w:val="32"/>
        </w:rPr>
        <w:t>1</w:t>
      </w:r>
      <w:r>
        <w:rPr>
          <w:rFonts w:hint="eastAsia" w:ascii="楷体_GB2312" w:hAnsi="仿宋" w:eastAsia="楷体_GB2312"/>
          <w:b/>
          <w:spacing w:val="-4"/>
          <w:sz w:val="32"/>
          <w:szCs w:val="32"/>
        </w:rPr>
        <w:t>、主要经验及做法。</w:t>
      </w:r>
      <w:r>
        <w:rPr>
          <w:rFonts w:hint="eastAsia" w:ascii="楷体_GB2312" w:hAnsi="仿宋" w:eastAsia="楷体_GB2312"/>
          <w:spacing w:val="-4"/>
          <w:sz w:val="32"/>
          <w:szCs w:val="32"/>
        </w:rPr>
        <w:t>为保证财务管理工作规范有序进行，</w:t>
      </w:r>
      <w:r>
        <w:rPr>
          <w:rFonts w:ascii="楷体_GB2312" w:hAnsi="仿宋" w:eastAsia="楷体_GB2312"/>
          <w:spacing w:val="-4"/>
          <w:sz w:val="32"/>
          <w:szCs w:val="32"/>
        </w:rPr>
        <w:t>2018</w:t>
      </w:r>
      <w:r>
        <w:rPr>
          <w:rFonts w:hint="eastAsia" w:ascii="楷体_GB2312" w:hAnsi="仿宋" w:eastAsia="楷体_GB2312"/>
          <w:spacing w:val="-4"/>
          <w:sz w:val="32"/>
          <w:szCs w:val="32"/>
        </w:rPr>
        <w:t>年我们按照英吉沙县财政局要求修改完善了相关财务管理的制度、规定，及时调整充实乡财经工作领导小组，不断加强内部控制和监督。对各项资金的管理、经费收支审批等均作了明确规定，正确组织资金的筹集、调度和使用。对所有大额支出专题报告需经会议研究通过。</w:t>
      </w:r>
      <w:r>
        <w:rPr>
          <w:rFonts w:ascii="仿宋" w:hAnsi="仿宋" w:eastAsia="楷体_GB2312"/>
          <w:spacing w:val="-4"/>
          <w:sz w:val="32"/>
          <w:szCs w:val="32"/>
        </w:rPr>
        <w:t> </w:t>
      </w:r>
      <w:r>
        <w:rPr>
          <w:rFonts w:hint="eastAsia" w:ascii="楷体_GB2312" w:hAnsi="仿宋" w:eastAsia="楷体_GB2312"/>
          <w:spacing w:val="-4"/>
          <w:sz w:val="32"/>
          <w:szCs w:val="32"/>
        </w:rPr>
        <w:t>强化制度执行。切实做好厉行节约工作，全面落实各项管理制度要求，努力降低行政成本。对各项指出实行限额把关、一支笔审批制度，做到一事一审批、一事一结账，各项费用严格履行审批程序。</w:t>
      </w:r>
    </w:p>
    <w:p>
      <w:pPr>
        <w:adjustRightInd w:val="0"/>
        <w:snapToGrid w:val="0"/>
        <w:spacing w:line="360" w:lineRule="auto"/>
        <w:ind w:firstLine="627" w:firstLineChars="200"/>
        <w:rPr>
          <w:rFonts w:ascii="楷体_GB2312" w:hAnsi="仿宋" w:eastAsia="楷体_GB2312"/>
          <w:spacing w:val="-4"/>
          <w:sz w:val="32"/>
          <w:szCs w:val="32"/>
        </w:rPr>
      </w:pPr>
      <w:r>
        <w:rPr>
          <w:rFonts w:ascii="楷体_GB2312" w:hAnsi="仿宋" w:eastAsia="楷体_GB2312"/>
          <w:b/>
          <w:spacing w:val="-4"/>
          <w:sz w:val="32"/>
          <w:szCs w:val="32"/>
        </w:rPr>
        <w:t>2</w:t>
      </w:r>
      <w:r>
        <w:rPr>
          <w:rFonts w:hint="eastAsia" w:ascii="楷体_GB2312" w:hAnsi="仿宋" w:eastAsia="楷体_GB2312"/>
          <w:b/>
          <w:spacing w:val="-4"/>
          <w:sz w:val="32"/>
          <w:szCs w:val="32"/>
        </w:rPr>
        <w:t>、存在的问题。</w:t>
      </w:r>
      <w:r>
        <w:rPr>
          <w:rFonts w:hint="eastAsia" w:ascii="楷体_GB2312" w:hAnsi="仿宋" w:eastAsia="楷体_GB2312"/>
          <w:spacing w:val="-4"/>
          <w:sz w:val="32"/>
          <w:szCs w:val="32"/>
        </w:rPr>
        <w:t>无</w:t>
      </w:r>
    </w:p>
    <w:p>
      <w:pPr>
        <w:adjustRightInd w:val="0"/>
        <w:snapToGrid w:val="0"/>
        <w:spacing w:line="360" w:lineRule="auto"/>
        <w:ind w:firstLine="627" w:firstLineChars="200"/>
        <w:rPr>
          <w:rFonts w:ascii="楷体_GB2312" w:hAnsi="仿宋" w:eastAsia="楷体_GB2312"/>
          <w:spacing w:val="-4"/>
          <w:sz w:val="32"/>
          <w:szCs w:val="32"/>
        </w:rPr>
      </w:pPr>
      <w:r>
        <w:rPr>
          <w:rFonts w:ascii="楷体_GB2312" w:hAnsi="仿宋" w:eastAsia="楷体_GB2312"/>
          <w:b/>
          <w:spacing w:val="-4"/>
          <w:sz w:val="32"/>
          <w:szCs w:val="32"/>
        </w:rPr>
        <w:t>3</w:t>
      </w:r>
      <w:r>
        <w:rPr>
          <w:rFonts w:hint="eastAsia" w:ascii="楷体_GB2312" w:hAnsi="仿宋" w:eastAsia="楷体_GB2312"/>
          <w:b/>
          <w:spacing w:val="-4"/>
          <w:sz w:val="32"/>
          <w:szCs w:val="32"/>
        </w:rPr>
        <w:t>、建议。</w:t>
      </w:r>
      <w:r>
        <w:rPr>
          <w:rFonts w:ascii="楷体_GB2312" w:hAnsi="仿宋" w:eastAsia="楷体_GB2312"/>
          <w:spacing w:val="-4"/>
          <w:sz w:val="32"/>
          <w:szCs w:val="32"/>
        </w:rPr>
        <w:t xml:space="preserve"> </w:t>
      </w:r>
      <w:r>
        <w:rPr>
          <w:rFonts w:hint="eastAsia" w:ascii="楷体_GB2312" w:hAnsi="仿宋" w:eastAsia="楷体_GB2312"/>
          <w:spacing w:val="-4"/>
          <w:sz w:val="32"/>
          <w:szCs w:val="32"/>
        </w:rPr>
        <w:t>无</w:t>
      </w:r>
    </w:p>
    <w:p>
      <w:pPr>
        <w:adjustRightInd w:val="0"/>
        <w:snapToGrid w:val="0"/>
        <w:spacing w:line="360" w:lineRule="auto"/>
        <w:ind w:left="420" w:leftChars="200"/>
        <w:rPr>
          <w:rFonts w:ascii="楷体_GB2312" w:hAnsi="楷体" w:eastAsia="楷体_GB2312"/>
          <w:b/>
          <w:spacing w:val="-4"/>
          <w:sz w:val="32"/>
          <w:szCs w:val="32"/>
        </w:rPr>
      </w:pPr>
      <w:r>
        <w:rPr>
          <w:rFonts w:hint="eastAsia" w:ascii="楷体_GB2312" w:hAnsi="楷体" w:eastAsia="楷体_GB2312"/>
          <w:b/>
          <w:spacing w:val="-4"/>
          <w:sz w:val="32"/>
          <w:szCs w:val="32"/>
        </w:rPr>
        <w:t>（三）其他</w:t>
      </w:r>
    </w:p>
    <w:p>
      <w:pPr>
        <w:adjustRightInd w:val="0"/>
        <w:snapToGrid w:val="0"/>
        <w:spacing w:line="360" w:lineRule="auto"/>
        <w:ind w:firstLine="624" w:firstLineChars="200"/>
        <w:rPr>
          <w:rFonts w:ascii="楷体_GB2312" w:hAnsi="仿宋" w:eastAsia="楷体_GB2312"/>
          <w:spacing w:val="-4"/>
          <w:sz w:val="32"/>
          <w:szCs w:val="32"/>
        </w:rPr>
      </w:pPr>
      <w:r>
        <w:rPr>
          <w:rFonts w:hint="eastAsia" w:ascii="楷体_GB2312" w:hAnsi="仿宋" w:eastAsia="楷体_GB2312"/>
          <w:spacing w:val="-4"/>
          <w:sz w:val="32"/>
          <w:szCs w:val="32"/>
        </w:rPr>
        <w:t>无其他说明内容。</w:t>
      </w:r>
    </w:p>
    <w:p>
      <w:pPr>
        <w:adjustRightInd w:val="0"/>
        <w:snapToGrid w:val="0"/>
        <w:spacing w:line="360" w:lineRule="auto"/>
        <w:ind w:firstLine="627" w:firstLineChars="200"/>
        <w:outlineLvl w:val="0"/>
        <w:rPr>
          <w:rFonts w:ascii="楷体_GB2312" w:hAnsi="黑体" w:eastAsia="楷体_GB2312"/>
          <w:bCs/>
          <w:spacing w:val="-4"/>
          <w:sz w:val="32"/>
          <w:szCs w:val="32"/>
        </w:rPr>
      </w:pPr>
      <w:r>
        <w:rPr>
          <w:rStyle w:val="20"/>
          <w:rFonts w:hint="eastAsia" w:ascii="楷体_GB2312" w:hAnsi="黑体" w:eastAsia="楷体_GB2312"/>
          <w:spacing w:val="-4"/>
          <w:sz w:val="32"/>
          <w:szCs w:val="32"/>
        </w:rPr>
        <w:t>六、项目评价工作情况</w:t>
      </w:r>
    </w:p>
    <w:p>
      <w:pPr>
        <w:adjustRightInd w:val="0"/>
        <w:snapToGrid w:val="0"/>
        <w:spacing w:line="360" w:lineRule="auto"/>
        <w:ind w:firstLine="624" w:firstLineChars="200"/>
        <w:rPr>
          <w:rFonts w:ascii="楷体_GB2312" w:hAnsi="仿宋" w:eastAsia="楷体_GB2312"/>
          <w:spacing w:val="-4"/>
          <w:sz w:val="32"/>
          <w:szCs w:val="32"/>
        </w:rPr>
      </w:pPr>
      <w:r>
        <w:rPr>
          <w:rFonts w:hint="eastAsia" w:ascii="楷体_GB2312" w:hAnsi="仿宋" w:eastAsia="楷体_GB2312"/>
          <w:spacing w:val="-4"/>
          <w:sz w:val="32"/>
          <w:szCs w:val="32"/>
          <w:lang w:eastAsia="zh-CN"/>
        </w:rPr>
        <w:t>英也尔乡</w:t>
      </w:r>
      <w:r>
        <w:rPr>
          <w:rFonts w:hint="eastAsia" w:ascii="楷体_GB2312" w:hAnsi="仿宋" w:eastAsia="楷体_GB2312"/>
          <w:spacing w:val="-4"/>
          <w:sz w:val="32"/>
          <w:szCs w:val="32"/>
        </w:rPr>
        <w:t>切实加强财务管理，强化财务监督，增强法纪观念，遵守规章制度。为保证财务管理工作规范有序进行，</w:t>
      </w:r>
      <w:r>
        <w:rPr>
          <w:rFonts w:ascii="楷体_GB2312" w:hAnsi="仿宋" w:eastAsia="楷体_GB2312"/>
          <w:spacing w:val="-4"/>
          <w:sz w:val="32"/>
          <w:szCs w:val="32"/>
        </w:rPr>
        <w:t>2018</w:t>
      </w:r>
      <w:r>
        <w:rPr>
          <w:rFonts w:hint="eastAsia" w:ascii="楷体_GB2312" w:hAnsi="仿宋" w:eastAsia="楷体_GB2312"/>
          <w:spacing w:val="-4"/>
          <w:sz w:val="32"/>
          <w:szCs w:val="32"/>
        </w:rPr>
        <w:t>年我们修改完善了相关财务管理的制度、规定，及时调整充实乡财经工作领导小组，不断加强内部控制和监督。对各项资金的管理、经费收支审批等均作了明确规定，正确组织资金的筹集、调度和使用。各项经费支出实行限额把关、一支笔审批制度。切实做好厉行节约工作，全面落实各项管理制度要求，努力降低行政成本。</w:t>
      </w:r>
    </w:p>
    <w:p>
      <w:pPr>
        <w:adjustRightInd w:val="0"/>
        <w:snapToGrid w:val="0"/>
        <w:spacing w:line="360" w:lineRule="auto"/>
        <w:ind w:firstLine="627" w:firstLineChars="200"/>
        <w:outlineLvl w:val="0"/>
        <w:rPr>
          <w:rStyle w:val="20"/>
          <w:rFonts w:ascii="楷体_GB2312" w:hAnsi="黑体" w:eastAsia="楷体_GB2312"/>
          <w:spacing w:val="-4"/>
          <w:sz w:val="32"/>
          <w:szCs w:val="32"/>
        </w:rPr>
      </w:pPr>
      <w:r>
        <w:rPr>
          <w:rStyle w:val="20"/>
          <w:rFonts w:hint="eastAsia" w:ascii="楷体_GB2312" w:hAnsi="黑体" w:eastAsia="楷体_GB2312"/>
          <w:spacing w:val="-4"/>
          <w:sz w:val="32"/>
          <w:szCs w:val="32"/>
        </w:rPr>
        <w:t>七、附表</w:t>
      </w:r>
    </w:p>
    <w:p>
      <w:pPr>
        <w:adjustRightInd w:val="0"/>
        <w:snapToGrid w:val="0"/>
        <w:spacing w:line="360" w:lineRule="auto"/>
        <w:ind w:firstLine="624" w:firstLineChars="200"/>
        <w:rPr>
          <w:rFonts w:hint="eastAsia" w:ascii="楷体_GB2312" w:hAnsi="仿宋" w:eastAsia="楷体_GB2312"/>
          <w:spacing w:val="-4"/>
          <w:sz w:val="32"/>
          <w:szCs w:val="32"/>
        </w:rPr>
      </w:pPr>
      <w:r>
        <w:rPr>
          <w:rFonts w:hint="eastAsia" w:ascii="楷体_GB2312" w:hAnsi="仿宋" w:eastAsia="楷体_GB2312"/>
          <w:spacing w:val="-4"/>
          <w:sz w:val="32"/>
          <w:szCs w:val="32"/>
        </w:rPr>
        <w:t>《项目支出绩效目标自评表》</w:t>
      </w:r>
    </w:p>
    <w:p>
      <w:pPr>
        <w:adjustRightInd w:val="0"/>
        <w:snapToGrid w:val="0"/>
        <w:spacing w:line="360" w:lineRule="auto"/>
        <w:ind w:firstLine="624" w:firstLineChars="200"/>
        <w:rPr>
          <w:rFonts w:hint="eastAsia" w:ascii="楷体_GB2312" w:hAnsi="仿宋" w:eastAsia="楷体_GB2312"/>
          <w:spacing w:val="-4"/>
          <w:sz w:val="32"/>
          <w:szCs w:val="32"/>
        </w:rPr>
      </w:pPr>
    </w:p>
    <w:p>
      <w:pPr>
        <w:adjustRightInd w:val="0"/>
        <w:snapToGrid w:val="0"/>
        <w:spacing w:line="360" w:lineRule="auto"/>
        <w:ind w:firstLine="624" w:firstLineChars="200"/>
        <w:rPr>
          <w:rFonts w:hint="eastAsia" w:ascii="楷体_GB2312" w:hAnsi="仿宋" w:eastAsia="楷体_GB2312"/>
          <w:spacing w:val="-4"/>
          <w:sz w:val="32"/>
          <w:szCs w:val="32"/>
        </w:rPr>
      </w:pPr>
    </w:p>
    <w:p>
      <w:pPr>
        <w:adjustRightInd w:val="0"/>
        <w:snapToGrid w:val="0"/>
        <w:spacing w:line="360" w:lineRule="auto"/>
        <w:ind w:firstLine="624" w:firstLineChars="200"/>
        <w:rPr>
          <w:rFonts w:hint="eastAsia" w:ascii="楷体_GB2312" w:hAnsi="仿宋" w:eastAsia="楷体_GB2312"/>
          <w:spacing w:val="-4"/>
          <w:sz w:val="32"/>
          <w:szCs w:val="32"/>
        </w:rPr>
      </w:pPr>
    </w:p>
    <w:p>
      <w:pPr>
        <w:adjustRightInd w:val="0"/>
        <w:snapToGrid w:val="0"/>
        <w:spacing w:line="360" w:lineRule="auto"/>
        <w:ind w:firstLine="624" w:firstLineChars="200"/>
        <w:rPr>
          <w:rFonts w:hint="eastAsia" w:ascii="楷体_GB2312" w:hAnsi="仿宋" w:eastAsia="楷体_GB2312"/>
          <w:spacing w:val="-4"/>
          <w:sz w:val="32"/>
          <w:szCs w:val="32"/>
        </w:rPr>
      </w:pPr>
    </w:p>
    <w:p>
      <w:pPr>
        <w:adjustRightInd w:val="0"/>
        <w:snapToGrid w:val="0"/>
        <w:spacing w:line="360" w:lineRule="auto"/>
        <w:ind w:firstLine="624" w:firstLineChars="200"/>
        <w:rPr>
          <w:rFonts w:hint="eastAsia" w:ascii="楷体_GB2312" w:hAnsi="仿宋" w:eastAsia="楷体_GB2312"/>
          <w:spacing w:val="-4"/>
          <w:sz w:val="32"/>
          <w:szCs w:val="32"/>
        </w:rPr>
      </w:pPr>
    </w:p>
    <w:p>
      <w:pPr>
        <w:adjustRightInd w:val="0"/>
        <w:snapToGrid w:val="0"/>
        <w:spacing w:line="360" w:lineRule="auto"/>
        <w:ind w:firstLine="624" w:firstLineChars="200"/>
        <w:rPr>
          <w:rFonts w:hint="eastAsia" w:ascii="楷体_GB2312" w:hAnsi="仿宋" w:eastAsia="楷体_GB2312"/>
          <w:spacing w:val="-4"/>
          <w:sz w:val="32"/>
          <w:szCs w:val="32"/>
        </w:rPr>
      </w:pPr>
      <w:bookmarkStart w:id="1" w:name="_GoBack"/>
      <w:bookmarkEnd w:id="1"/>
    </w:p>
    <w:p>
      <w:pPr>
        <w:adjustRightInd w:val="0"/>
        <w:snapToGrid w:val="0"/>
        <w:spacing w:line="360" w:lineRule="auto"/>
        <w:ind w:firstLine="624" w:firstLineChars="200"/>
        <w:rPr>
          <w:rFonts w:hint="eastAsia" w:ascii="楷体_GB2312" w:hAnsi="仿宋" w:eastAsia="楷体_GB2312"/>
          <w:spacing w:val="-4"/>
          <w:sz w:val="32"/>
          <w:szCs w:val="32"/>
          <w:lang w:val="en-US" w:eastAsia="zh-CN"/>
        </w:rPr>
      </w:pPr>
      <w:r>
        <w:rPr>
          <w:rFonts w:hint="eastAsia" w:ascii="楷体_GB2312" w:hAnsi="仿宋" w:eastAsia="楷体_GB2312"/>
          <w:spacing w:val="-4"/>
          <w:sz w:val="32"/>
          <w:szCs w:val="32"/>
          <w:lang w:val="en-US" w:eastAsia="zh-CN"/>
        </w:rPr>
        <w:t xml:space="preserve">    </w:t>
      </w:r>
    </w:p>
    <w:p>
      <w:pPr>
        <w:adjustRightInd w:val="0"/>
        <w:snapToGrid w:val="0"/>
        <w:spacing w:line="360" w:lineRule="auto"/>
        <w:ind w:firstLine="624" w:firstLineChars="200"/>
        <w:jc w:val="right"/>
        <w:rPr>
          <w:rFonts w:hint="eastAsia" w:ascii="楷体_GB2312" w:hAnsi="仿宋" w:eastAsia="楷体_GB2312"/>
          <w:spacing w:val="-4"/>
          <w:sz w:val="32"/>
          <w:szCs w:val="32"/>
          <w:lang w:val="en-US" w:eastAsia="zh-CN"/>
        </w:rPr>
      </w:pPr>
      <w:r>
        <w:rPr>
          <w:rFonts w:hint="eastAsia" w:ascii="楷体_GB2312" w:hAnsi="仿宋" w:eastAsia="楷体_GB2312"/>
          <w:spacing w:val="-4"/>
          <w:sz w:val="32"/>
          <w:szCs w:val="32"/>
          <w:lang w:val="en-US" w:eastAsia="zh-CN"/>
        </w:rPr>
        <w:t>英吉沙县英也尔乡人民政府</w:t>
      </w:r>
    </w:p>
    <w:p>
      <w:pPr>
        <w:adjustRightInd w:val="0"/>
        <w:snapToGrid w:val="0"/>
        <w:spacing w:line="360" w:lineRule="auto"/>
        <w:ind w:firstLine="5304" w:firstLineChars="1700"/>
        <w:jc w:val="both"/>
        <w:rPr>
          <w:rFonts w:hint="default" w:ascii="楷体_GB2312" w:hAnsi="仿宋" w:eastAsia="楷体_GB2312"/>
          <w:spacing w:val="-4"/>
          <w:sz w:val="32"/>
          <w:szCs w:val="32"/>
          <w:lang w:val="en-US" w:eastAsia="zh-CN"/>
        </w:rPr>
      </w:pPr>
      <w:r>
        <w:rPr>
          <w:rFonts w:hint="eastAsia" w:ascii="楷体_GB2312" w:hAnsi="仿宋" w:eastAsia="楷体_GB2312"/>
          <w:spacing w:val="-4"/>
          <w:sz w:val="32"/>
          <w:szCs w:val="32"/>
          <w:lang w:val="en-US" w:eastAsia="zh-CN"/>
        </w:rPr>
        <w:t>2018年12月20日</w:t>
      </w:r>
    </w:p>
    <w:sectPr>
      <w:headerReference r:id="rId3" w:type="default"/>
      <w:footerReference r:id="rId4" w:type="default"/>
      <w:footerReference r:id="rId5"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Cambria">
    <w:altName w:val="Segoe Print"/>
    <w:panose1 w:val="02040503050406030204"/>
    <w:charset w:val="00"/>
    <w:family w:val="roman"/>
    <w:pitch w:val="default"/>
    <w:sig w:usb0="00000000" w:usb1="00000000" w:usb2="00000000" w:usb3="00000000" w:csb0="000000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Rounded MT Bold">
    <w:panose1 w:val="020F0704030504030204"/>
    <w:charset w:val="00"/>
    <w:family w:val="auto"/>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1"/>
      </w:rPr>
    </w:pPr>
    <w:r>
      <w:rPr>
        <w:rStyle w:val="21"/>
      </w:rPr>
      <w:fldChar w:fldCharType="begin"/>
    </w:r>
    <w:r>
      <w:rPr>
        <w:rStyle w:val="21"/>
      </w:rPr>
      <w:instrText xml:space="preserve">PAGE  </w:instrText>
    </w:r>
    <w:r>
      <w:rPr>
        <w:rStyle w:val="21"/>
      </w:rPr>
      <w:fldChar w:fldCharType="separate"/>
    </w:r>
    <w:r>
      <w:rPr>
        <w:rStyle w:val="21"/>
      </w:rPr>
      <w:t>5</w:t>
    </w:r>
    <w:r>
      <w:rPr>
        <w:rStyle w:val="21"/>
      </w:rPr>
      <w:fldChar w:fldCharType="end"/>
    </w:r>
  </w:p>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1"/>
      </w:rPr>
    </w:pPr>
    <w:r>
      <w:rPr>
        <w:rStyle w:val="21"/>
      </w:rPr>
      <w:fldChar w:fldCharType="begin"/>
    </w:r>
    <w:r>
      <w:rPr>
        <w:rStyle w:val="21"/>
      </w:rPr>
      <w:instrText xml:space="preserve">PAGE  </w:instrText>
    </w:r>
    <w:r>
      <w:rPr>
        <w:rStyle w:val="21"/>
      </w:rPr>
      <w:fldChar w:fldCharType="end"/>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373D6"/>
    <w:rsid w:val="0004796C"/>
    <w:rsid w:val="000627AC"/>
    <w:rsid w:val="0012006C"/>
    <w:rsid w:val="0012208E"/>
    <w:rsid w:val="00135256"/>
    <w:rsid w:val="00137CB3"/>
    <w:rsid w:val="001A4E1F"/>
    <w:rsid w:val="001A57B9"/>
    <w:rsid w:val="001C3847"/>
    <w:rsid w:val="001F3031"/>
    <w:rsid w:val="001F56A4"/>
    <w:rsid w:val="00210A26"/>
    <w:rsid w:val="00212859"/>
    <w:rsid w:val="00223C9E"/>
    <w:rsid w:val="002A2532"/>
    <w:rsid w:val="002A2D76"/>
    <w:rsid w:val="002C7C64"/>
    <w:rsid w:val="002D1950"/>
    <w:rsid w:val="002F7D36"/>
    <w:rsid w:val="00365250"/>
    <w:rsid w:val="0036624C"/>
    <w:rsid w:val="00382C5F"/>
    <w:rsid w:val="00385849"/>
    <w:rsid w:val="003978FE"/>
    <w:rsid w:val="003B015C"/>
    <w:rsid w:val="00420DF1"/>
    <w:rsid w:val="004222EE"/>
    <w:rsid w:val="00433F2A"/>
    <w:rsid w:val="00462747"/>
    <w:rsid w:val="0050167F"/>
    <w:rsid w:val="00514506"/>
    <w:rsid w:val="005162F1"/>
    <w:rsid w:val="00516E80"/>
    <w:rsid w:val="005269C7"/>
    <w:rsid w:val="00535153"/>
    <w:rsid w:val="00546602"/>
    <w:rsid w:val="00546E5F"/>
    <w:rsid w:val="0057141E"/>
    <w:rsid w:val="00575CFE"/>
    <w:rsid w:val="00583AFC"/>
    <w:rsid w:val="00592D09"/>
    <w:rsid w:val="005C60FF"/>
    <w:rsid w:val="006020B7"/>
    <w:rsid w:val="006122E6"/>
    <w:rsid w:val="0062476C"/>
    <w:rsid w:val="00661E4E"/>
    <w:rsid w:val="00675D58"/>
    <w:rsid w:val="00692CB0"/>
    <w:rsid w:val="006972A5"/>
    <w:rsid w:val="006F2E6D"/>
    <w:rsid w:val="0070188C"/>
    <w:rsid w:val="007139E7"/>
    <w:rsid w:val="007218B8"/>
    <w:rsid w:val="00725337"/>
    <w:rsid w:val="00736A74"/>
    <w:rsid w:val="00755C6A"/>
    <w:rsid w:val="00785FDE"/>
    <w:rsid w:val="007A0351"/>
    <w:rsid w:val="007A14BC"/>
    <w:rsid w:val="007A7564"/>
    <w:rsid w:val="007B2DF0"/>
    <w:rsid w:val="007B7B70"/>
    <w:rsid w:val="007C1025"/>
    <w:rsid w:val="007E6845"/>
    <w:rsid w:val="007F5F8A"/>
    <w:rsid w:val="008026E4"/>
    <w:rsid w:val="00826CA1"/>
    <w:rsid w:val="00835B7F"/>
    <w:rsid w:val="00855E3A"/>
    <w:rsid w:val="00897D37"/>
    <w:rsid w:val="008D7967"/>
    <w:rsid w:val="00921085"/>
    <w:rsid w:val="00922CB9"/>
    <w:rsid w:val="009350F7"/>
    <w:rsid w:val="0094179A"/>
    <w:rsid w:val="009B526F"/>
    <w:rsid w:val="009C1AFD"/>
    <w:rsid w:val="009C7329"/>
    <w:rsid w:val="00A26421"/>
    <w:rsid w:val="00A4293B"/>
    <w:rsid w:val="00A83BD5"/>
    <w:rsid w:val="00A977DF"/>
    <w:rsid w:val="00AC1C1C"/>
    <w:rsid w:val="00AE0E19"/>
    <w:rsid w:val="00AE25E2"/>
    <w:rsid w:val="00AE6A23"/>
    <w:rsid w:val="00B06CA5"/>
    <w:rsid w:val="00B14E9A"/>
    <w:rsid w:val="00B41F61"/>
    <w:rsid w:val="00B55332"/>
    <w:rsid w:val="00B86E8C"/>
    <w:rsid w:val="00BE1A00"/>
    <w:rsid w:val="00BE48BD"/>
    <w:rsid w:val="00BE52C0"/>
    <w:rsid w:val="00C14C97"/>
    <w:rsid w:val="00C224E4"/>
    <w:rsid w:val="00C22CF0"/>
    <w:rsid w:val="00C37319"/>
    <w:rsid w:val="00C56C72"/>
    <w:rsid w:val="00CA6457"/>
    <w:rsid w:val="00CC6E4D"/>
    <w:rsid w:val="00D17F2E"/>
    <w:rsid w:val="00D2165C"/>
    <w:rsid w:val="00D46194"/>
    <w:rsid w:val="00D8687D"/>
    <w:rsid w:val="00DA4010"/>
    <w:rsid w:val="00DA602C"/>
    <w:rsid w:val="00DE62AE"/>
    <w:rsid w:val="00E01293"/>
    <w:rsid w:val="00E027D1"/>
    <w:rsid w:val="00E13064"/>
    <w:rsid w:val="00E17149"/>
    <w:rsid w:val="00E23175"/>
    <w:rsid w:val="00E27271"/>
    <w:rsid w:val="00E769FE"/>
    <w:rsid w:val="00EA2CBE"/>
    <w:rsid w:val="00EE6224"/>
    <w:rsid w:val="00F32FEE"/>
    <w:rsid w:val="00F53E69"/>
    <w:rsid w:val="00F71041"/>
    <w:rsid w:val="00F96236"/>
    <w:rsid w:val="00FC69E6"/>
    <w:rsid w:val="0465231D"/>
    <w:rsid w:val="0ED72759"/>
    <w:rsid w:val="0F6A6B1C"/>
    <w:rsid w:val="1EBA02D4"/>
    <w:rsid w:val="298820D9"/>
    <w:rsid w:val="2CDE5E92"/>
    <w:rsid w:val="2F8A227C"/>
    <w:rsid w:val="37AB5386"/>
    <w:rsid w:val="47B17686"/>
    <w:rsid w:val="49EC67EB"/>
    <w:rsid w:val="4ED40108"/>
    <w:rsid w:val="4F9D2EEC"/>
    <w:rsid w:val="7A504D22"/>
    <w:rsid w:val="7F265E7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4"/>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5"/>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6"/>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7"/>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8"/>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9"/>
    <w:qFormat/>
    <w:uiPriority w:val="99"/>
    <w:pPr>
      <w:widowControl/>
      <w:spacing w:before="240" w:after="60"/>
      <w:jc w:val="left"/>
      <w:outlineLvl w:val="6"/>
    </w:pPr>
    <w:rPr>
      <w:rFonts w:ascii="Calibri" w:hAnsi="Calibri"/>
      <w:kern w:val="0"/>
      <w:sz w:val="24"/>
    </w:rPr>
  </w:style>
  <w:style w:type="paragraph" w:styleId="9">
    <w:name w:val="heading 8"/>
    <w:basedOn w:val="1"/>
    <w:next w:val="1"/>
    <w:link w:val="30"/>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1"/>
    <w:qFormat/>
    <w:uiPriority w:val="99"/>
    <w:pPr>
      <w:widowControl/>
      <w:spacing w:before="240" w:after="60"/>
      <w:jc w:val="left"/>
      <w:outlineLvl w:val="8"/>
    </w:pPr>
    <w:rPr>
      <w:rFonts w:ascii="Cambria" w:hAnsi="Cambria"/>
      <w:kern w:val="0"/>
      <w:sz w:val="22"/>
      <w:szCs w:val="22"/>
    </w:rPr>
  </w:style>
  <w:style w:type="character" w:default="1" w:styleId="19">
    <w:name w:val="Default Paragraph Font"/>
    <w:semiHidden/>
    <w:uiPriority w:val="99"/>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2"/>
    <w:semiHidden/>
    <w:uiPriority w:val="99"/>
    <w:rPr>
      <w:rFonts w:ascii="宋体"/>
      <w:sz w:val="18"/>
      <w:szCs w:val="18"/>
    </w:rPr>
  </w:style>
  <w:style w:type="paragraph" w:styleId="12">
    <w:name w:val="Balloon Text"/>
    <w:basedOn w:val="1"/>
    <w:link w:val="33"/>
    <w:semiHidden/>
    <w:qFormat/>
    <w:uiPriority w:val="99"/>
    <w:rPr>
      <w:sz w:val="18"/>
      <w:szCs w:val="18"/>
    </w:rPr>
  </w:style>
  <w:style w:type="paragraph" w:styleId="13">
    <w:name w:val="footer"/>
    <w:basedOn w:val="1"/>
    <w:link w:val="34"/>
    <w:uiPriority w:val="99"/>
    <w:pPr>
      <w:tabs>
        <w:tab w:val="center" w:pos="4153"/>
        <w:tab w:val="right" w:pos="8306"/>
      </w:tabs>
      <w:snapToGrid w:val="0"/>
      <w:jc w:val="left"/>
    </w:pPr>
    <w:rPr>
      <w:rFonts w:ascii="Calibri" w:hAnsi="Calibri"/>
      <w:sz w:val="18"/>
      <w:szCs w:val="18"/>
    </w:rPr>
  </w:style>
  <w:style w:type="paragraph" w:styleId="14">
    <w:name w:val="header"/>
    <w:basedOn w:val="1"/>
    <w:link w:val="35"/>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6"/>
    <w:qFormat/>
    <w:uiPriority w:val="99"/>
    <w:pPr>
      <w:widowControl/>
      <w:spacing w:after="60"/>
      <w:jc w:val="center"/>
      <w:outlineLvl w:val="1"/>
    </w:pPr>
    <w:rPr>
      <w:rFonts w:ascii="Cambria" w:hAnsi="Cambria"/>
      <w:kern w:val="0"/>
      <w:sz w:val="24"/>
    </w:rPr>
  </w:style>
  <w:style w:type="paragraph" w:styleId="16">
    <w:name w:val="Normal (Web)"/>
    <w:basedOn w:val="1"/>
    <w:qFormat/>
    <w:uiPriority w:val="99"/>
    <w:pPr>
      <w:spacing w:before="100" w:beforeAutospacing="1" w:after="100" w:afterAutospacing="1"/>
      <w:jc w:val="left"/>
    </w:pPr>
    <w:rPr>
      <w:kern w:val="0"/>
      <w:sz w:val="24"/>
    </w:rPr>
  </w:style>
  <w:style w:type="paragraph" w:styleId="17">
    <w:name w:val="Title"/>
    <w:basedOn w:val="1"/>
    <w:next w:val="1"/>
    <w:link w:val="37"/>
    <w:qFormat/>
    <w:uiPriority w:val="99"/>
    <w:pPr>
      <w:widowControl/>
      <w:spacing w:before="240" w:after="60"/>
      <w:jc w:val="center"/>
      <w:outlineLvl w:val="0"/>
    </w:pPr>
    <w:rPr>
      <w:rFonts w:ascii="Cambria" w:hAnsi="Cambria"/>
      <w:b/>
      <w:bCs/>
      <w:kern w:val="28"/>
      <w:sz w:val="32"/>
      <w:szCs w:val="32"/>
    </w:rPr>
  </w:style>
  <w:style w:type="character" w:styleId="20">
    <w:name w:val="Strong"/>
    <w:basedOn w:val="19"/>
    <w:qFormat/>
    <w:uiPriority w:val="99"/>
    <w:rPr>
      <w:rFonts w:cs="Times New Roman"/>
      <w:b/>
      <w:bCs/>
    </w:rPr>
  </w:style>
  <w:style w:type="character" w:styleId="21">
    <w:name w:val="page number"/>
    <w:basedOn w:val="19"/>
    <w:qFormat/>
    <w:locked/>
    <w:uiPriority w:val="99"/>
    <w:rPr>
      <w:rFonts w:cs="Times New Roman"/>
    </w:rPr>
  </w:style>
  <w:style w:type="character" w:styleId="22">
    <w:name w:val="Emphasis"/>
    <w:basedOn w:val="19"/>
    <w:qFormat/>
    <w:uiPriority w:val="99"/>
    <w:rPr>
      <w:rFonts w:ascii="Calibri" w:hAnsi="Calibri" w:cs="Times New Roman"/>
      <w:b/>
      <w:i/>
      <w:iCs/>
    </w:rPr>
  </w:style>
  <w:style w:type="character" w:customStyle="1" w:styleId="23">
    <w:name w:val="Heading 1 Char"/>
    <w:basedOn w:val="19"/>
    <w:link w:val="2"/>
    <w:qFormat/>
    <w:locked/>
    <w:uiPriority w:val="99"/>
    <w:rPr>
      <w:rFonts w:ascii="Cambria" w:hAnsi="Cambria" w:eastAsia="宋体" w:cs="Times New Roman"/>
      <w:b/>
      <w:bCs/>
      <w:kern w:val="32"/>
      <w:sz w:val="32"/>
      <w:szCs w:val="32"/>
    </w:rPr>
  </w:style>
  <w:style w:type="character" w:customStyle="1" w:styleId="24">
    <w:name w:val="Heading 2 Char"/>
    <w:basedOn w:val="19"/>
    <w:link w:val="3"/>
    <w:semiHidden/>
    <w:locked/>
    <w:uiPriority w:val="99"/>
    <w:rPr>
      <w:rFonts w:ascii="Cambria" w:hAnsi="Cambria" w:eastAsia="宋体" w:cs="Times New Roman"/>
      <w:b/>
      <w:bCs/>
      <w:i/>
      <w:iCs/>
      <w:sz w:val="28"/>
      <w:szCs w:val="28"/>
    </w:rPr>
  </w:style>
  <w:style w:type="character" w:customStyle="1" w:styleId="25">
    <w:name w:val="Heading 3 Char"/>
    <w:basedOn w:val="19"/>
    <w:link w:val="4"/>
    <w:semiHidden/>
    <w:locked/>
    <w:uiPriority w:val="99"/>
    <w:rPr>
      <w:rFonts w:ascii="Cambria" w:hAnsi="Cambria" w:eastAsia="宋体" w:cs="Times New Roman"/>
      <w:b/>
      <w:bCs/>
      <w:sz w:val="26"/>
      <w:szCs w:val="26"/>
    </w:rPr>
  </w:style>
  <w:style w:type="character" w:customStyle="1" w:styleId="26">
    <w:name w:val="Heading 4 Char"/>
    <w:basedOn w:val="19"/>
    <w:link w:val="5"/>
    <w:semiHidden/>
    <w:qFormat/>
    <w:locked/>
    <w:uiPriority w:val="99"/>
    <w:rPr>
      <w:rFonts w:cs="Times New Roman"/>
      <w:b/>
      <w:bCs/>
      <w:sz w:val="28"/>
      <w:szCs w:val="28"/>
    </w:rPr>
  </w:style>
  <w:style w:type="character" w:customStyle="1" w:styleId="27">
    <w:name w:val="Heading 5 Char"/>
    <w:basedOn w:val="19"/>
    <w:link w:val="6"/>
    <w:semiHidden/>
    <w:qFormat/>
    <w:locked/>
    <w:uiPriority w:val="99"/>
    <w:rPr>
      <w:rFonts w:cs="Times New Roman"/>
      <w:b/>
      <w:bCs/>
      <w:i/>
      <w:iCs/>
      <w:sz w:val="26"/>
      <w:szCs w:val="26"/>
    </w:rPr>
  </w:style>
  <w:style w:type="character" w:customStyle="1" w:styleId="28">
    <w:name w:val="Heading 6 Char"/>
    <w:basedOn w:val="19"/>
    <w:link w:val="7"/>
    <w:semiHidden/>
    <w:qFormat/>
    <w:locked/>
    <w:uiPriority w:val="99"/>
    <w:rPr>
      <w:rFonts w:cs="Times New Roman"/>
      <w:b/>
      <w:bCs/>
    </w:rPr>
  </w:style>
  <w:style w:type="character" w:customStyle="1" w:styleId="29">
    <w:name w:val="Heading 7 Char"/>
    <w:basedOn w:val="19"/>
    <w:link w:val="8"/>
    <w:semiHidden/>
    <w:locked/>
    <w:uiPriority w:val="99"/>
    <w:rPr>
      <w:rFonts w:cs="Times New Roman"/>
      <w:sz w:val="24"/>
      <w:szCs w:val="24"/>
    </w:rPr>
  </w:style>
  <w:style w:type="character" w:customStyle="1" w:styleId="30">
    <w:name w:val="Heading 8 Char"/>
    <w:basedOn w:val="19"/>
    <w:link w:val="9"/>
    <w:semiHidden/>
    <w:qFormat/>
    <w:locked/>
    <w:uiPriority w:val="99"/>
    <w:rPr>
      <w:rFonts w:cs="Times New Roman"/>
      <w:i/>
      <w:iCs/>
      <w:sz w:val="24"/>
      <w:szCs w:val="24"/>
    </w:rPr>
  </w:style>
  <w:style w:type="character" w:customStyle="1" w:styleId="31">
    <w:name w:val="Heading 9 Char"/>
    <w:basedOn w:val="19"/>
    <w:link w:val="10"/>
    <w:semiHidden/>
    <w:locked/>
    <w:uiPriority w:val="99"/>
    <w:rPr>
      <w:rFonts w:ascii="Cambria" w:hAnsi="Cambria" w:eastAsia="宋体" w:cs="Times New Roman"/>
    </w:rPr>
  </w:style>
  <w:style w:type="character" w:customStyle="1" w:styleId="32">
    <w:name w:val="Document Map Char"/>
    <w:basedOn w:val="19"/>
    <w:link w:val="11"/>
    <w:semiHidden/>
    <w:qFormat/>
    <w:locked/>
    <w:uiPriority w:val="99"/>
    <w:rPr>
      <w:rFonts w:ascii="宋体" w:hAnsi="Times New Roman" w:eastAsia="宋体" w:cs="Times New Roman"/>
      <w:kern w:val="2"/>
      <w:sz w:val="18"/>
      <w:szCs w:val="18"/>
    </w:rPr>
  </w:style>
  <w:style w:type="character" w:customStyle="1" w:styleId="33">
    <w:name w:val="Balloon Text Char"/>
    <w:basedOn w:val="19"/>
    <w:link w:val="12"/>
    <w:semiHidden/>
    <w:qFormat/>
    <w:locked/>
    <w:uiPriority w:val="99"/>
    <w:rPr>
      <w:rFonts w:ascii="Times New Roman" w:hAnsi="Times New Roman" w:eastAsia="宋体" w:cs="Times New Roman"/>
      <w:kern w:val="2"/>
      <w:sz w:val="18"/>
      <w:szCs w:val="18"/>
    </w:rPr>
  </w:style>
  <w:style w:type="character" w:customStyle="1" w:styleId="34">
    <w:name w:val="Footer Char"/>
    <w:basedOn w:val="19"/>
    <w:link w:val="13"/>
    <w:locked/>
    <w:uiPriority w:val="99"/>
    <w:rPr>
      <w:rFonts w:ascii="Calibri" w:hAnsi="Calibri" w:eastAsia="宋体" w:cs="Times New Roman"/>
      <w:kern w:val="2"/>
      <w:sz w:val="18"/>
      <w:szCs w:val="18"/>
    </w:rPr>
  </w:style>
  <w:style w:type="character" w:customStyle="1" w:styleId="35">
    <w:name w:val="Header Char"/>
    <w:basedOn w:val="19"/>
    <w:link w:val="14"/>
    <w:locked/>
    <w:uiPriority w:val="99"/>
    <w:rPr>
      <w:rFonts w:ascii="Calibri" w:hAnsi="Calibri" w:eastAsia="宋体" w:cs="Times New Roman"/>
      <w:kern w:val="2"/>
      <w:sz w:val="18"/>
      <w:szCs w:val="18"/>
    </w:rPr>
  </w:style>
  <w:style w:type="character" w:customStyle="1" w:styleId="36">
    <w:name w:val="Subtitle Char"/>
    <w:basedOn w:val="19"/>
    <w:link w:val="15"/>
    <w:qFormat/>
    <w:locked/>
    <w:uiPriority w:val="99"/>
    <w:rPr>
      <w:rFonts w:ascii="Cambria" w:hAnsi="Cambria" w:eastAsia="宋体" w:cs="Times New Roman"/>
      <w:sz w:val="24"/>
      <w:szCs w:val="24"/>
    </w:rPr>
  </w:style>
  <w:style w:type="character" w:customStyle="1" w:styleId="37">
    <w:name w:val="Title Char"/>
    <w:basedOn w:val="19"/>
    <w:link w:val="17"/>
    <w:locked/>
    <w:uiPriority w:val="99"/>
    <w:rPr>
      <w:rFonts w:ascii="Cambria" w:hAnsi="Cambria" w:eastAsia="宋体" w:cs="Times New Roman"/>
      <w:b/>
      <w:bCs/>
      <w:kern w:val="28"/>
      <w:sz w:val="32"/>
      <w:szCs w:val="32"/>
    </w:rPr>
  </w:style>
  <w:style w:type="paragraph" w:styleId="38">
    <w:name w:val="No Spacing"/>
    <w:basedOn w:val="1"/>
    <w:qFormat/>
    <w:uiPriority w:val="99"/>
    <w:pPr>
      <w:widowControl/>
      <w:jc w:val="left"/>
    </w:pPr>
    <w:rPr>
      <w:rFonts w:ascii="Calibri" w:hAnsi="Calibri"/>
      <w:kern w:val="0"/>
      <w:sz w:val="24"/>
      <w:szCs w:val="32"/>
      <w:lang w:eastAsia="en-US"/>
    </w:rPr>
  </w:style>
  <w:style w:type="paragraph" w:styleId="39">
    <w:name w:val="List Paragraph"/>
    <w:basedOn w:val="1"/>
    <w:qFormat/>
    <w:uiPriority w:val="99"/>
    <w:pPr>
      <w:widowControl/>
      <w:ind w:left="720"/>
      <w:contextualSpacing/>
      <w:jc w:val="left"/>
    </w:pPr>
    <w:rPr>
      <w:rFonts w:ascii="Calibri" w:hAnsi="Calibri"/>
      <w:kern w:val="0"/>
      <w:sz w:val="24"/>
      <w:lang w:eastAsia="en-US"/>
    </w:rPr>
  </w:style>
  <w:style w:type="paragraph" w:styleId="40">
    <w:name w:val="Quote"/>
    <w:basedOn w:val="1"/>
    <w:next w:val="1"/>
    <w:link w:val="41"/>
    <w:qFormat/>
    <w:uiPriority w:val="99"/>
    <w:pPr>
      <w:widowControl/>
      <w:jc w:val="left"/>
    </w:pPr>
    <w:rPr>
      <w:rFonts w:ascii="Calibri" w:hAnsi="Calibri"/>
      <w:i/>
      <w:kern w:val="0"/>
      <w:sz w:val="24"/>
    </w:rPr>
  </w:style>
  <w:style w:type="character" w:customStyle="1" w:styleId="41">
    <w:name w:val="Quote Char"/>
    <w:basedOn w:val="19"/>
    <w:link w:val="40"/>
    <w:locked/>
    <w:uiPriority w:val="99"/>
    <w:rPr>
      <w:rFonts w:cs="Times New Roman"/>
      <w:i/>
      <w:sz w:val="24"/>
      <w:szCs w:val="24"/>
    </w:rPr>
  </w:style>
  <w:style w:type="paragraph" w:styleId="42">
    <w:name w:val="Intense Quote"/>
    <w:basedOn w:val="1"/>
    <w:next w:val="1"/>
    <w:link w:val="43"/>
    <w:qFormat/>
    <w:uiPriority w:val="99"/>
    <w:pPr>
      <w:widowControl/>
      <w:ind w:left="720" w:right="720"/>
      <w:jc w:val="left"/>
    </w:pPr>
    <w:rPr>
      <w:rFonts w:ascii="Calibri" w:hAnsi="Calibri"/>
      <w:b/>
      <w:i/>
      <w:kern w:val="0"/>
      <w:sz w:val="24"/>
      <w:szCs w:val="22"/>
    </w:rPr>
  </w:style>
  <w:style w:type="character" w:customStyle="1" w:styleId="43">
    <w:name w:val="Intense Quote Char"/>
    <w:basedOn w:val="19"/>
    <w:link w:val="42"/>
    <w:locked/>
    <w:uiPriority w:val="99"/>
    <w:rPr>
      <w:rFonts w:cs="Times New Roman"/>
      <w:b/>
      <w:i/>
      <w:sz w:val="24"/>
    </w:rPr>
  </w:style>
  <w:style w:type="character" w:customStyle="1" w:styleId="44">
    <w:name w:val="Subtle Emphasis1"/>
    <w:qFormat/>
    <w:uiPriority w:val="99"/>
    <w:rPr>
      <w:i/>
      <w:color w:val="5A5A5A"/>
    </w:rPr>
  </w:style>
  <w:style w:type="character" w:customStyle="1" w:styleId="45">
    <w:name w:val="Intense Emphasis1"/>
    <w:basedOn w:val="19"/>
    <w:qFormat/>
    <w:uiPriority w:val="99"/>
    <w:rPr>
      <w:rFonts w:cs="Times New Roman"/>
      <w:b/>
      <w:i/>
      <w:sz w:val="24"/>
      <w:szCs w:val="24"/>
      <w:u w:val="single"/>
    </w:rPr>
  </w:style>
  <w:style w:type="character" w:customStyle="1" w:styleId="46">
    <w:name w:val="Subtle Reference1"/>
    <w:basedOn w:val="19"/>
    <w:uiPriority w:val="99"/>
    <w:rPr>
      <w:rFonts w:cs="Times New Roman"/>
      <w:sz w:val="24"/>
      <w:szCs w:val="24"/>
      <w:u w:val="single"/>
    </w:rPr>
  </w:style>
  <w:style w:type="character" w:customStyle="1" w:styleId="47">
    <w:name w:val="Intense Reference1"/>
    <w:basedOn w:val="19"/>
    <w:qFormat/>
    <w:uiPriority w:val="99"/>
    <w:rPr>
      <w:rFonts w:cs="Times New Roman"/>
      <w:b/>
      <w:sz w:val="24"/>
      <w:u w:val="single"/>
    </w:rPr>
  </w:style>
  <w:style w:type="character" w:customStyle="1" w:styleId="48">
    <w:name w:val="Book Title1"/>
    <w:basedOn w:val="19"/>
    <w:uiPriority w:val="99"/>
    <w:rPr>
      <w:rFonts w:ascii="Cambria" w:hAnsi="Cambria" w:eastAsia="宋体" w:cs="Times New Roman"/>
      <w:b/>
      <w:i/>
      <w:sz w:val="24"/>
      <w:szCs w:val="24"/>
    </w:rPr>
  </w:style>
  <w:style w:type="paragraph" w:customStyle="1" w:styleId="49">
    <w:name w:val="TOC Heading1"/>
    <w:basedOn w:val="2"/>
    <w:next w:val="1"/>
    <w:semiHidden/>
    <w:uiPriority w:val="99"/>
    <w:pPr>
      <w:outlineLvl w:val="9"/>
    </w:pPr>
    <w:rPr>
      <w:lang w:eastAsia="en-US"/>
    </w:rPr>
  </w:style>
  <w:style w:type="paragraph" w:customStyle="1" w:styleId="50">
    <w:name w:val="正文 A"/>
    <w:qFormat/>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 w:type="paragraph" w:customStyle="1" w:styleId="51">
    <w:name w:val="p0"/>
    <w:basedOn w:val="1"/>
    <w:qFormat/>
    <w:uiPriority w:val="99"/>
    <w:pPr>
      <w:widowControl/>
    </w:pPr>
    <w:rPr>
      <w:rFonts w:ascii="Calibri" w:hAnsi="Calibri"/>
      <w:kern w:val="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6</Pages>
  <Words>325</Words>
  <Characters>1856</Characters>
  <Lines>0</Lines>
  <Paragraphs>0</Paragraphs>
  <TotalTime>4</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2019-01-30T11:44:00Z</dcterms:created>
  <dc:creator>赵 恺（预算处）</dc:creator>
  <cp:lastModifiedBy>Administrator</cp:lastModifiedBy>
  <cp:lastPrinted>2018-12-17T10:15:00Z</cp:lastPrinted>
  <dcterms:modified xsi:type="dcterms:W3CDTF">2019-08-23T08:34:21Z</dcterms:modified>
  <dc:title>新疆财政支出绩效自评报告</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